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26E05" w14:textId="55C92319" w:rsidR="0029533F" w:rsidRPr="00A81AFE" w:rsidRDefault="00D449A9" w:rsidP="00E24101">
      <w:pPr>
        <w:pStyle w:val="Pagedecouverture"/>
        <w:rPr>
          <w:lang w:val="en-IE"/>
        </w:rPr>
      </w:pPr>
      <w:r>
        <w:rPr>
          <w:noProof/>
          <w:lang w:val="en-IE"/>
        </w:rPr>
        <w:drawing>
          <wp:inline distT="0" distB="0" distL="0" distR="0" wp14:anchorId="01EF2A9F" wp14:editId="619615A4">
            <wp:extent cx="5778500" cy="5080000"/>
            <wp:effectExtent l="0" t="0" r="0" b="0"/>
            <wp:docPr id="1" name="Pilt 1" descr="5411A1BD-64F9-4CF0-ABAB-B5DFB34F6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11A1BD-64F9-4CF0-ABAB-B5DFB34F6E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0" cy="5080000"/>
                    </a:xfrm>
                    <a:prstGeom prst="rect">
                      <a:avLst/>
                    </a:prstGeom>
                    <a:noFill/>
                    <a:ln>
                      <a:noFill/>
                    </a:ln>
                  </pic:spPr>
                </pic:pic>
              </a:graphicData>
            </a:graphic>
          </wp:inline>
        </w:drawing>
      </w:r>
    </w:p>
    <w:p w14:paraId="5223A994" w14:textId="77777777" w:rsidR="00A1460C" w:rsidRPr="00A81AFE" w:rsidRDefault="00A1460C" w:rsidP="00200FE9">
      <w:pPr>
        <w:rPr>
          <w:lang w:val="en-IE"/>
        </w:rPr>
        <w:sectPr w:rsidR="00A1460C" w:rsidRPr="00A81AFE" w:rsidSect="007F38C7">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3D2D84F5" w14:textId="5B5A040E" w:rsidR="00A1460C" w:rsidRPr="00A81AFE" w:rsidRDefault="00E24101" w:rsidP="00E24101">
      <w:pPr>
        <w:pStyle w:val="Typedudocument"/>
        <w:rPr>
          <w:lang w:val="en-IE"/>
        </w:rPr>
      </w:pPr>
      <w:r w:rsidRPr="00E24101">
        <w:lastRenderedPageBreak/>
        <w:t>COMMISSION REGULATION (EU) …/…</w:t>
      </w:r>
    </w:p>
    <w:p w14:paraId="16527DF4" w14:textId="3091B0BC" w:rsidR="00A1460C" w:rsidRPr="00A81AFE" w:rsidRDefault="00E24101" w:rsidP="00E24101">
      <w:pPr>
        <w:pStyle w:val="Datedadoption"/>
        <w:rPr>
          <w:lang w:val="en-IE"/>
        </w:rPr>
      </w:pPr>
      <w:r w:rsidRPr="00E24101">
        <w:t xml:space="preserve">of </w:t>
      </w:r>
      <w:r w:rsidRPr="00E24101">
        <w:rPr>
          <w:rStyle w:val="Marker2"/>
        </w:rPr>
        <w:t>XXX</w:t>
      </w:r>
    </w:p>
    <w:p w14:paraId="75B6B009" w14:textId="11B78850" w:rsidR="00A1460C" w:rsidRPr="00A81AFE" w:rsidRDefault="00E24101" w:rsidP="00E24101">
      <w:pPr>
        <w:pStyle w:val="Titreobjet"/>
        <w:rPr>
          <w:lang w:val="en-IE"/>
        </w:rPr>
      </w:pPr>
      <w:r w:rsidRPr="00E24101">
        <w:t>amending Annex XVII to Regulation (EC) No 1907/2006 of the European Parliament and of the Council concerning the Registration, Evaluation, Authorisation and Restriction of Chemicals (REACH) as regards lead in ammunition and fishing tackle</w:t>
      </w:r>
    </w:p>
    <w:p w14:paraId="7C8C4486" w14:textId="7D621BCF" w:rsidR="00A1460C" w:rsidRPr="00A81AFE" w:rsidRDefault="00E24101" w:rsidP="00E24101">
      <w:pPr>
        <w:pStyle w:val="IntrtEEE"/>
        <w:rPr>
          <w:lang w:val="en-IE"/>
        </w:rPr>
      </w:pPr>
      <w:r w:rsidRPr="00E24101">
        <w:t>(Text with EEA relevance)</w:t>
      </w:r>
    </w:p>
    <w:p w14:paraId="2C2DC13E" w14:textId="77777777" w:rsidR="00A1460C" w:rsidRPr="00A81AFE" w:rsidRDefault="00A1460C" w:rsidP="00200FE9">
      <w:pPr>
        <w:pStyle w:val="Institutionquiagit"/>
        <w:rPr>
          <w:lang w:val="en-IE"/>
        </w:rPr>
      </w:pPr>
      <w:r w:rsidRPr="00A81AFE">
        <w:rPr>
          <w:lang w:val="en-IE"/>
        </w:rPr>
        <w:t>THE EUROPEAN COMMISSION,</w:t>
      </w:r>
    </w:p>
    <w:p w14:paraId="725B2509" w14:textId="77777777" w:rsidR="00A1460C" w:rsidRPr="00A81AFE" w:rsidRDefault="00A1460C" w:rsidP="00200FE9">
      <w:pPr>
        <w:rPr>
          <w:lang w:val="en-IE"/>
        </w:rPr>
      </w:pPr>
      <w:r w:rsidRPr="00A81AFE">
        <w:rPr>
          <w:lang w:val="en-IE"/>
        </w:rPr>
        <w:t>Having regard to the Treaty on the Functioning of the European Union,</w:t>
      </w:r>
    </w:p>
    <w:p w14:paraId="2DA8CF58" w14:textId="77777777" w:rsidR="00A1460C" w:rsidRPr="00A81AFE" w:rsidRDefault="00A1460C" w:rsidP="00200FE9">
      <w:pPr>
        <w:rPr>
          <w:lang w:val="en-IE"/>
        </w:rPr>
      </w:pPr>
      <w:r w:rsidRPr="00A81AFE">
        <w:rPr>
          <w:lang w:val="en-IE"/>
        </w:rPr>
        <w:t xml:space="preserve">Having regard to </w:t>
      </w:r>
      <w:r w:rsidR="007D3630" w:rsidRPr="00A81AFE">
        <w:rPr>
          <w:lang w:val="en-IE"/>
        </w:rPr>
        <w:t>Regulation (EC) No</w:t>
      </w:r>
      <w:r w:rsidR="006462D9" w:rsidRPr="00A81AFE">
        <w:rPr>
          <w:lang w:val="en-IE"/>
        </w:rPr>
        <w:t> </w:t>
      </w:r>
      <w:r w:rsidR="007D3630" w:rsidRPr="00A81AFE">
        <w:rPr>
          <w:lang w:val="en-IE"/>
        </w:rPr>
        <w:t>1907/2006 of the European Parliament and of the Council of 18</w:t>
      </w:r>
      <w:r w:rsidR="00764390" w:rsidRPr="00A81AFE">
        <w:rPr>
          <w:lang w:val="en-IE"/>
        </w:rPr>
        <w:t> </w:t>
      </w:r>
      <w:r w:rsidR="007D3630" w:rsidRPr="00A81AFE">
        <w:rPr>
          <w:lang w:val="en-IE"/>
        </w:rPr>
        <w:t>December</w:t>
      </w:r>
      <w:r w:rsidR="00764390" w:rsidRPr="00A81AFE">
        <w:rPr>
          <w:lang w:val="en-IE"/>
        </w:rPr>
        <w:t> </w:t>
      </w:r>
      <w:r w:rsidR="007D3630" w:rsidRPr="00A81AFE">
        <w:rPr>
          <w:lang w:val="en-IE"/>
        </w:rPr>
        <w:t>2006 concerning the Registration, Evaluation, Authorisation and Restriction of Chemicals (REACH), establishing a European Chemicals Agency, amending Directive 1999/45/EC and repealing Council Regulation (EEC) No</w:t>
      </w:r>
      <w:r w:rsidR="006462D9" w:rsidRPr="00A81AFE">
        <w:rPr>
          <w:lang w:val="en-IE"/>
        </w:rPr>
        <w:t> </w:t>
      </w:r>
      <w:r w:rsidR="007D3630" w:rsidRPr="00A81AFE">
        <w:rPr>
          <w:lang w:val="en-IE"/>
        </w:rPr>
        <w:t>793/93 and Commission Regulation (EC) No</w:t>
      </w:r>
      <w:r w:rsidR="006462D9" w:rsidRPr="00A81AFE">
        <w:rPr>
          <w:lang w:val="en-IE"/>
        </w:rPr>
        <w:t> </w:t>
      </w:r>
      <w:r w:rsidR="007D3630" w:rsidRPr="00A81AFE">
        <w:rPr>
          <w:lang w:val="en-IE"/>
        </w:rPr>
        <w:t>1488/94 as well as Council Directive 76/769/EEC and Commission Directives 91/155/EEC, 93/67/EEC, 93/105/EC and 2000/21/EC</w:t>
      </w:r>
      <w:r w:rsidR="005D2726" w:rsidRPr="00A81AFE">
        <w:rPr>
          <w:lang w:val="en-IE"/>
        </w:rPr>
        <w:t> </w:t>
      </w:r>
      <w:r w:rsidR="0062082D" w:rsidRPr="00A81AFE">
        <w:rPr>
          <w:rStyle w:val="Allmrkuseviide"/>
          <w:lang w:val="en-IE"/>
        </w:rPr>
        <w:footnoteReference w:id="2"/>
      </w:r>
      <w:r w:rsidR="007D3630" w:rsidRPr="00A81AFE">
        <w:rPr>
          <w:lang w:val="en-IE"/>
        </w:rPr>
        <w:t>, and in particular Article</w:t>
      </w:r>
      <w:r w:rsidR="004A769C" w:rsidRPr="00A81AFE">
        <w:rPr>
          <w:lang w:val="en-IE"/>
        </w:rPr>
        <w:t> </w:t>
      </w:r>
      <w:r w:rsidR="007D3630" w:rsidRPr="00A81AFE">
        <w:rPr>
          <w:lang w:val="en-IE"/>
        </w:rPr>
        <w:t>68(1) thereof</w:t>
      </w:r>
      <w:r w:rsidRPr="00A81AFE">
        <w:rPr>
          <w:lang w:val="en-IE"/>
        </w:rPr>
        <w:t>,</w:t>
      </w:r>
    </w:p>
    <w:p w14:paraId="40272D39" w14:textId="77777777" w:rsidR="00A1460C" w:rsidRPr="00A81AFE" w:rsidRDefault="00A1460C" w:rsidP="00200FE9">
      <w:pPr>
        <w:rPr>
          <w:lang w:val="en-IE"/>
        </w:rPr>
      </w:pPr>
      <w:r w:rsidRPr="00A81AFE">
        <w:rPr>
          <w:lang w:val="en-IE"/>
        </w:rPr>
        <w:t>Whereas:</w:t>
      </w:r>
    </w:p>
    <w:p w14:paraId="39FEBDC6" w14:textId="77777777" w:rsidR="00FC3A0E" w:rsidRPr="00A81AFE" w:rsidRDefault="00FC3A0E" w:rsidP="006B1220">
      <w:pPr>
        <w:pStyle w:val="Considrant"/>
        <w:numPr>
          <w:ilvl w:val="0"/>
          <w:numId w:val="5"/>
        </w:numPr>
        <w:rPr>
          <w:lang w:val="en-IE"/>
        </w:rPr>
      </w:pPr>
      <w:r w:rsidRPr="00A81AFE">
        <w:rPr>
          <w:lang w:val="en-IE"/>
        </w:rPr>
        <w:t>Annex</w:t>
      </w:r>
      <w:r w:rsidR="004A769C" w:rsidRPr="00A81AFE">
        <w:rPr>
          <w:lang w:val="en-IE"/>
        </w:rPr>
        <w:t> </w:t>
      </w:r>
      <w:r w:rsidRPr="00A81AFE">
        <w:rPr>
          <w:lang w:val="en-IE"/>
        </w:rPr>
        <w:t>XVII to Regulation (EC) No</w:t>
      </w:r>
      <w:r w:rsidR="004A769C" w:rsidRPr="00A81AFE">
        <w:rPr>
          <w:lang w:val="en-IE"/>
        </w:rPr>
        <w:t> </w:t>
      </w:r>
      <w:r w:rsidRPr="00A81AFE">
        <w:rPr>
          <w:lang w:val="en-IE"/>
        </w:rPr>
        <w:t>1907/2006 lays down restrictions on the manufacture, placing on the market and use of certain dangerous substances, mixtures and articles. Entry</w:t>
      </w:r>
      <w:r w:rsidR="004A769C" w:rsidRPr="00A81AFE">
        <w:rPr>
          <w:lang w:val="en-IE"/>
        </w:rPr>
        <w:t> </w:t>
      </w:r>
      <w:r w:rsidRPr="00A81AFE">
        <w:rPr>
          <w:lang w:val="en-IE"/>
        </w:rPr>
        <w:t xml:space="preserve">63 of that Annex contains restrictions with respect to lead </w:t>
      </w:r>
      <w:r w:rsidR="006B724D" w:rsidRPr="00A81AFE">
        <w:t xml:space="preserve">(CAS No 7439-92-1, EC No 231-100-4) </w:t>
      </w:r>
      <w:r w:rsidRPr="00A81AFE">
        <w:t xml:space="preserve">and </w:t>
      </w:r>
      <w:r w:rsidRPr="00A81AFE">
        <w:rPr>
          <w:lang w:val="en-IE"/>
        </w:rPr>
        <w:t xml:space="preserve">lead compounds, including </w:t>
      </w:r>
      <w:r w:rsidR="001F3713" w:rsidRPr="00A81AFE">
        <w:rPr>
          <w:lang w:val="en-IE"/>
        </w:rPr>
        <w:t xml:space="preserve">a </w:t>
      </w:r>
      <w:r w:rsidR="0055730B" w:rsidRPr="00A81AFE">
        <w:rPr>
          <w:lang w:val="en-IE"/>
        </w:rPr>
        <w:t xml:space="preserve">restriction </w:t>
      </w:r>
      <w:r w:rsidR="00687CCD" w:rsidRPr="00A81AFE">
        <w:rPr>
          <w:lang w:val="en-IE"/>
        </w:rPr>
        <w:t>on</w:t>
      </w:r>
      <w:r w:rsidR="00030714" w:rsidRPr="00A81AFE">
        <w:t xml:space="preserve"> </w:t>
      </w:r>
      <w:r w:rsidRPr="00A81AFE">
        <w:t xml:space="preserve">lead in gunshot </w:t>
      </w:r>
      <w:r w:rsidRPr="00A81AFE">
        <w:rPr>
          <w:lang w:val="en-IE"/>
        </w:rPr>
        <w:t>in or around wetlands</w:t>
      </w:r>
      <w:r w:rsidR="00687CCD" w:rsidRPr="00A81AFE">
        <w:rPr>
          <w:lang w:val="en-IE"/>
        </w:rPr>
        <w:t xml:space="preserve"> </w:t>
      </w:r>
      <w:r w:rsidR="009912E2" w:rsidRPr="00A81AFE">
        <w:rPr>
          <w:lang w:val="en-IE"/>
        </w:rPr>
        <w:t xml:space="preserve">that was </w:t>
      </w:r>
      <w:r w:rsidR="00687CCD" w:rsidRPr="00A81AFE">
        <w:rPr>
          <w:lang w:val="en-IE"/>
        </w:rPr>
        <w:t>introduced by Commission Regulation (EU) 2021/57</w:t>
      </w:r>
      <w:r w:rsidR="005D2726" w:rsidRPr="00A81AFE">
        <w:rPr>
          <w:lang w:val="en-IE"/>
        </w:rPr>
        <w:t> </w:t>
      </w:r>
      <w:r w:rsidR="0062082D" w:rsidRPr="00A81AFE">
        <w:rPr>
          <w:rStyle w:val="Allmrkuseviide"/>
          <w:lang w:val="en-IE"/>
        </w:rPr>
        <w:footnoteReference w:id="3"/>
      </w:r>
      <w:r w:rsidRPr="00A81AFE">
        <w:rPr>
          <w:lang w:val="en-IE"/>
        </w:rPr>
        <w:t>.</w:t>
      </w:r>
    </w:p>
    <w:p w14:paraId="7CC31524" w14:textId="77777777" w:rsidR="009B3BFA" w:rsidRPr="00A81AFE" w:rsidRDefault="009B3BFA" w:rsidP="009B3BFA">
      <w:pPr>
        <w:pStyle w:val="Considrant"/>
        <w:numPr>
          <w:ilvl w:val="0"/>
          <w:numId w:val="5"/>
        </w:numPr>
      </w:pPr>
      <w:r w:rsidRPr="00A81AFE">
        <w:t>Lead is classified under Regulation (EC) No 1272/2008</w:t>
      </w:r>
      <w:r w:rsidR="00DD37E8" w:rsidRPr="00A81AFE">
        <w:rPr>
          <w:lang w:val="en-IE"/>
        </w:rPr>
        <w:t> </w:t>
      </w:r>
      <w:r w:rsidR="00D96618" w:rsidRPr="00A81AFE">
        <w:rPr>
          <w:rStyle w:val="Allmrkuseviide"/>
        </w:rPr>
        <w:footnoteReference w:id="4"/>
      </w:r>
      <w:r w:rsidRPr="00A81AFE">
        <w:t xml:space="preserve"> as very toxic to aquatic life, and toxic for reproduction, due to its adverse effects on fertility and the development of the nervous system of the </w:t>
      </w:r>
      <w:r w:rsidR="002658F2" w:rsidRPr="00A81AFE">
        <w:t>foetus</w:t>
      </w:r>
      <w:r w:rsidRPr="00A81AFE">
        <w:t xml:space="preserve"> and the child, leading to permanent damage and intelligence quotient </w:t>
      </w:r>
      <w:r w:rsidR="00143C50" w:rsidRPr="00A81AFE">
        <w:t>(IQ)</w:t>
      </w:r>
      <w:r w:rsidRPr="00A81AFE">
        <w:t xml:space="preserve"> loss. No safe lead-concentration threshold has been identified under which lead has no ill effects on human health. Lead is also associated with </w:t>
      </w:r>
      <w:r w:rsidR="00526445" w:rsidRPr="00A81AFE">
        <w:rPr>
          <w:lang w:val="en-IE"/>
        </w:rPr>
        <w:t xml:space="preserve">an </w:t>
      </w:r>
      <w:r w:rsidRPr="00A81AFE">
        <w:t xml:space="preserve">increased risk of cardiovascular, kidney and central-nervous-system diseases </w:t>
      </w:r>
      <w:r w:rsidRPr="00A81AFE">
        <w:lastRenderedPageBreak/>
        <w:t xml:space="preserve">in adults. Moreover, exposure to lead can </w:t>
      </w:r>
      <w:r w:rsidR="00526445" w:rsidRPr="00A81AFE">
        <w:rPr>
          <w:lang w:val="en-IE"/>
        </w:rPr>
        <w:t>have</w:t>
      </w:r>
      <w:r w:rsidRPr="00A81AFE">
        <w:t xml:space="preserve"> a range of acute and chronic toxicological effects, including death, in animals, </w:t>
      </w:r>
      <w:r w:rsidR="00526445" w:rsidRPr="00A81AFE">
        <w:rPr>
          <w:lang w:val="en-IE"/>
        </w:rPr>
        <w:t xml:space="preserve">particularly in </w:t>
      </w:r>
      <w:r w:rsidRPr="00A81AFE">
        <w:t>birds</w:t>
      </w:r>
      <w:r w:rsidR="00DD37E8" w:rsidRPr="00A81AFE">
        <w:rPr>
          <w:lang w:val="en-IE"/>
        </w:rPr>
        <w:t> </w:t>
      </w:r>
      <w:r w:rsidR="00D96618" w:rsidRPr="00A81AFE">
        <w:rPr>
          <w:rStyle w:val="Allmrkuseviide"/>
        </w:rPr>
        <w:footnoteReference w:id="5"/>
      </w:r>
      <w:r w:rsidRPr="00A81AFE">
        <w:t xml:space="preserve">. </w:t>
      </w:r>
    </w:p>
    <w:p w14:paraId="630EF977" w14:textId="77777777" w:rsidR="00A20526" w:rsidRPr="00A81AFE" w:rsidRDefault="00A20526" w:rsidP="00A1460C">
      <w:pPr>
        <w:pStyle w:val="Considrant"/>
        <w:rPr>
          <w:lang w:val="en-IE"/>
        </w:rPr>
      </w:pPr>
      <w:r w:rsidRPr="00A81AFE">
        <w:rPr>
          <w:lang w:val="en-IE"/>
        </w:rPr>
        <w:t xml:space="preserve">The Union and its Member States are Contracting Parties to the Convention on </w:t>
      </w:r>
      <w:r w:rsidR="002701FC" w:rsidRPr="00A81AFE">
        <w:rPr>
          <w:lang w:val="en-IE"/>
        </w:rPr>
        <w:t xml:space="preserve">the Conservation of </w:t>
      </w:r>
      <w:r w:rsidRPr="00A81AFE">
        <w:rPr>
          <w:lang w:val="en-IE"/>
        </w:rPr>
        <w:t>Migratory Species</w:t>
      </w:r>
      <w:r w:rsidR="002701FC" w:rsidRPr="00A81AFE">
        <w:rPr>
          <w:lang w:val="en-IE"/>
        </w:rPr>
        <w:t xml:space="preserve"> of Wild Animals</w:t>
      </w:r>
      <w:r w:rsidR="005D2726" w:rsidRPr="00A81AFE">
        <w:rPr>
          <w:lang w:val="en-IE"/>
        </w:rPr>
        <w:t> </w:t>
      </w:r>
      <w:r w:rsidRPr="00A81AFE">
        <w:rPr>
          <w:rStyle w:val="Allmrkuseviide"/>
          <w:lang w:val="en-IE"/>
        </w:rPr>
        <w:footnoteReference w:id="6"/>
      </w:r>
      <w:r w:rsidRPr="00A81AFE">
        <w:rPr>
          <w:lang w:val="en-IE"/>
        </w:rPr>
        <w:t xml:space="preserve"> (CMS).</w:t>
      </w:r>
      <w:r w:rsidR="008D4D4B" w:rsidRPr="00A81AFE">
        <w:rPr>
          <w:lang w:val="en-IE"/>
        </w:rPr>
        <w:t xml:space="preserve"> </w:t>
      </w:r>
      <w:r w:rsidR="008D4D4B" w:rsidRPr="00A81AFE">
        <w:t xml:space="preserve">The </w:t>
      </w:r>
      <w:r w:rsidR="00041816" w:rsidRPr="00A81AFE">
        <w:t xml:space="preserve">Preventing Poisoning Working Group (PPWG) developed </w:t>
      </w:r>
      <w:r w:rsidR="008D4D4B" w:rsidRPr="00A81AFE">
        <w:rPr>
          <w:lang w:val="en-IE"/>
        </w:rPr>
        <w:t>Guidelines to Prevent the Risk of Poisoning to Migratory Birds</w:t>
      </w:r>
      <w:r w:rsidR="00321249" w:rsidRPr="00A81AFE">
        <w:t xml:space="preserve">, which </w:t>
      </w:r>
      <w:r w:rsidR="00D82E8E" w:rsidRPr="00A81AFE">
        <w:t>were</w:t>
      </w:r>
      <w:r w:rsidR="008D4D4B" w:rsidRPr="00A81AFE">
        <w:rPr>
          <w:lang w:val="en-IE"/>
        </w:rPr>
        <w:t xml:space="preserve"> adopted </w:t>
      </w:r>
      <w:r w:rsidR="0086247E" w:rsidRPr="00A81AFE">
        <w:rPr>
          <w:lang w:val="en-IE"/>
        </w:rPr>
        <w:t xml:space="preserve">in 2014 </w:t>
      </w:r>
      <w:r w:rsidR="008D4D4B" w:rsidRPr="00A81AFE">
        <w:rPr>
          <w:lang w:val="en-IE"/>
        </w:rPr>
        <w:t>by CMS Resolution</w:t>
      </w:r>
      <w:r w:rsidR="009912E2" w:rsidRPr="00A81AFE">
        <w:rPr>
          <w:lang w:val="en-IE"/>
        </w:rPr>
        <w:t> </w:t>
      </w:r>
      <w:r w:rsidR="008D4D4B" w:rsidRPr="00A81AFE">
        <w:rPr>
          <w:lang w:val="en-IE"/>
        </w:rPr>
        <w:t>11.15</w:t>
      </w:r>
      <w:r w:rsidR="00D82E8E" w:rsidRPr="00A81AFE">
        <w:t>. The Guidelines</w:t>
      </w:r>
      <w:r w:rsidR="008D4D4B" w:rsidRPr="00A81AFE">
        <w:rPr>
          <w:lang w:val="en-IE"/>
        </w:rPr>
        <w:t xml:space="preserve"> recommend </w:t>
      </w:r>
      <w:r w:rsidR="00DB68E1" w:rsidRPr="00A81AFE">
        <w:rPr>
          <w:lang w:val="en-IE"/>
        </w:rPr>
        <w:t xml:space="preserve">both </w:t>
      </w:r>
      <w:r w:rsidR="009912E2" w:rsidRPr="00A81AFE">
        <w:rPr>
          <w:lang w:val="en-IE"/>
        </w:rPr>
        <w:t xml:space="preserve">the </w:t>
      </w:r>
      <w:r w:rsidR="008D4D4B" w:rsidRPr="00A81AFE">
        <w:rPr>
          <w:lang w:val="en-IE"/>
        </w:rPr>
        <w:t>phas</w:t>
      </w:r>
      <w:r w:rsidR="00402725" w:rsidRPr="00A81AFE">
        <w:rPr>
          <w:lang w:val="en-IE"/>
        </w:rPr>
        <w:t>ing</w:t>
      </w:r>
      <w:r w:rsidR="00A2665A" w:rsidRPr="00A81AFE">
        <w:rPr>
          <w:lang w:val="en-IE"/>
        </w:rPr>
        <w:t>-</w:t>
      </w:r>
      <w:r w:rsidR="008D4D4B" w:rsidRPr="00A81AFE">
        <w:rPr>
          <w:lang w:val="en-IE"/>
        </w:rPr>
        <w:t xml:space="preserve">out </w:t>
      </w:r>
      <w:r w:rsidR="009912E2" w:rsidRPr="00A81AFE">
        <w:rPr>
          <w:lang w:val="en-IE"/>
        </w:rPr>
        <w:t>of</w:t>
      </w:r>
      <w:r w:rsidR="008D4D4B" w:rsidRPr="00A81AFE">
        <w:rPr>
          <w:lang w:val="en-IE"/>
        </w:rPr>
        <w:t xml:space="preserve"> the use of lead ammunition across all habitats and</w:t>
      </w:r>
      <w:r w:rsidR="00402725" w:rsidRPr="00A81AFE">
        <w:rPr>
          <w:lang w:val="en-IE"/>
        </w:rPr>
        <w:t xml:space="preserve"> </w:t>
      </w:r>
      <w:r w:rsidR="009912E2" w:rsidRPr="00A81AFE">
        <w:rPr>
          <w:lang w:val="en-IE"/>
        </w:rPr>
        <w:t xml:space="preserve">the </w:t>
      </w:r>
      <w:r w:rsidR="008D4D4B" w:rsidRPr="00A81AFE">
        <w:rPr>
          <w:lang w:val="en-IE"/>
        </w:rPr>
        <w:t>phas</w:t>
      </w:r>
      <w:r w:rsidR="00402725" w:rsidRPr="00A81AFE">
        <w:rPr>
          <w:lang w:val="en-IE"/>
        </w:rPr>
        <w:t>ing</w:t>
      </w:r>
      <w:r w:rsidR="00A2665A" w:rsidRPr="00A81AFE">
        <w:rPr>
          <w:lang w:val="en-IE"/>
        </w:rPr>
        <w:t>-</w:t>
      </w:r>
      <w:r w:rsidR="008D4D4B" w:rsidRPr="00A81AFE">
        <w:rPr>
          <w:lang w:val="en-IE"/>
        </w:rPr>
        <w:t xml:space="preserve">out </w:t>
      </w:r>
      <w:r w:rsidR="009912E2" w:rsidRPr="00A81AFE">
        <w:rPr>
          <w:lang w:val="en-IE"/>
        </w:rPr>
        <w:t>of</w:t>
      </w:r>
      <w:r w:rsidR="008D4D4B" w:rsidRPr="00A81AFE">
        <w:rPr>
          <w:lang w:val="en-IE"/>
        </w:rPr>
        <w:t xml:space="preserve"> the use of lead fishing weights </w:t>
      </w:r>
      <w:r w:rsidR="006B1220" w:rsidRPr="00A81AFE">
        <w:rPr>
          <w:lang w:val="en-IE"/>
        </w:rPr>
        <w:t xml:space="preserve">in areas </w:t>
      </w:r>
      <w:r w:rsidR="008D4D4B" w:rsidRPr="00A81AFE">
        <w:rPr>
          <w:lang w:val="en-IE"/>
        </w:rPr>
        <w:t>where migratory birds have been shown to be particularly at risk</w:t>
      </w:r>
      <w:r w:rsidR="005654E1" w:rsidRPr="00A81AFE">
        <w:rPr>
          <w:lang w:val="en-IE"/>
        </w:rPr>
        <w:t xml:space="preserve"> of lead poisoning</w:t>
      </w:r>
      <w:r w:rsidR="008D4D4B" w:rsidRPr="00A81AFE">
        <w:rPr>
          <w:lang w:val="en-IE"/>
        </w:rPr>
        <w:t>.</w:t>
      </w:r>
    </w:p>
    <w:p w14:paraId="50853FF1" w14:textId="77777777" w:rsidR="00FC3A0E" w:rsidRPr="00A81AFE" w:rsidRDefault="007852BB" w:rsidP="00A1460C">
      <w:pPr>
        <w:pStyle w:val="Considrant"/>
        <w:rPr>
          <w:lang w:val="en-IE"/>
        </w:rPr>
      </w:pPr>
      <w:r w:rsidRPr="00A81AFE">
        <w:rPr>
          <w:lang w:val="en-IE"/>
        </w:rPr>
        <w:t xml:space="preserve">On </w:t>
      </w:r>
      <w:r w:rsidR="00FC3A0E" w:rsidRPr="00A81AFE">
        <w:rPr>
          <w:lang w:val="en-IE"/>
        </w:rPr>
        <w:t>16</w:t>
      </w:r>
      <w:r w:rsidR="009912E2" w:rsidRPr="00A81AFE">
        <w:rPr>
          <w:lang w:val="en-IE"/>
        </w:rPr>
        <w:t> </w:t>
      </w:r>
      <w:r w:rsidR="00FC3A0E" w:rsidRPr="00A81AFE">
        <w:rPr>
          <w:lang w:val="en-IE"/>
        </w:rPr>
        <w:t>July</w:t>
      </w:r>
      <w:r w:rsidR="009912E2" w:rsidRPr="00A81AFE">
        <w:rPr>
          <w:lang w:val="en-IE"/>
        </w:rPr>
        <w:t> </w:t>
      </w:r>
      <w:r w:rsidR="00FC3A0E" w:rsidRPr="00A81AFE">
        <w:rPr>
          <w:lang w:val="en-IE"/>
        </w:rPr>
        <w:t>2019, the Commission asked</w:t>
      </w:r>
      <w:r w:rsidR="005D2726" w:rsidRPr="00A81AFE">
        <w:rPr>
          <w:lang w:val="en-IE"/>
        </w:rPr>
        <w:t> </w:t>
      </w:r>
      <w:r w:rsidR="005023B1" w:rsidRPr="00A81AFE">
        <w:rPr>
          <w:rStyle w:val="Allmrkuseviide"/>
          <w:lang w:val="en-IE"/>
        </w:rPr>
        <w:footnoteReference w:id="7"/>
      </w:r>
      <w:r w:rsidRPr="00A81AFE">
        <w:rPr>
          <w:lang w:val="en-IE"/>
        </w:rPr>
        <w:t xml:space="preserve"> the European Chemicals Agency (the Agency)</w:t>
      </w:r>
      <w:r w:rsidR="0032697B" w:rsidRPr="00A81AFE">
        <w:rPr>
          <w:lang w:val="en-IE"/>
        </w:rPr>
        <w:t>,</w:t>
      </w:r>
      <w:r w:rsidRPr="00A81AFE">
        <w:rPr>
          <w:lang w:val="en-IE"/>
        </w:rPr>
        <w:t xml:space="preserve"> pursuant to Article</w:t>
      </w:r>
      <w:r w:rsidR="004A769C" w:rsidRPr="00A81AFE">
        <w:rPr>
          <w:lang w:val="en-IE"/>
        </w:rPr>
        <w:t> </w:t>
      </w:r>
      <w:r w:rsidRPr="00A81AFE">
        <w:rPr>
          <w:lang w:val="en-IE"/>
        </w:rPr>
        <w:t>69(1) of Regulation (EC) No</w:t>
      </w:r>
      <w:r w:rsidR="006462D9" w:rsidRPr="00A81AFE">
        <w:rPr>
          <w:lang w:val="en-IE"/>
        </w:rPr>
        <w:t> </w:t>
      </w:r>
      <w:r w:rsidRPr="00A81AFE">
        <w:rPr>
          <w:lang w:val="en-IE"/>
        </w:rPr>
        <w:t>1907/2006</w:t>
      </w:r>
      <w:r w:rsidR="0032697B" w:rsidRPr="00A81AFE">
        <w:rPr>
          <w:lang w:val="en-IE"/>
        </w:rPr>
        <w:t>,</w:t>
      </w:r>
      <w:r w:rsidRPr="00A81AFE">
        <w:rPr>
          <w:lang w:val="en-IE"/>
        </w:rPr>
        <w:t xml:space="preserve"> </w:t>
      </w:r>
      <w:r w:rsidR="00FC3A0E" w:rsidRPr="00A81AFE">
        <w:rPr>
          <w:lang w:val="en-IE"/>
        </w:rPr>
        <w:t xml:space="preserve">to prepare a dossier </w:t>
      </w:r>
      <w:r w:rsidR="007F176A" w:rsidRPr="00A81AFE">
        <w:rPr>
          <w:lang w:val="en-IE"/>
        </w:rPr>
        <w:t>( Annex</w:t>
      </w:r>
      <w:r w:rsidR="004A769C" w:rsidRPr="00A81AFE">
        <w:rPr>
          <w:lang w:val="en-IE"/>
        </w:rPr>
        <w:t> </w:t>
      </w:r>
      <w:r w:rsidR="007F176A" w:rsidRPr="00A81AFE">
        <w:rPr>
          <w:lang w:val="en-IE"/>
        </w:rPr>
        <w:t xml:space="preserve">XV dossier) </w:t>
      </w:r>
      <w:bookmarkStart w:id="1" w:name="_Hlk175324023"/>
      <w:r w:rsidR="0032697B" w:rsidRPr="00A81AFE">
        <w:rPr>
          <w:lang w:val="en-IE"/>
        </w:rPr>
        <w:t xml:space="preserve">to address the concerns </w:t>
      </w:r>
      <w:r w:rsidR="009912E2" w:rsidRPr="00A81AFE">
        <w:rPr>
          <w:lang w:val="en-IE"/>
        </w:rPr>
        <w:t>regarding</w:t>
      </w:r>
      <w:r w:rsidR="006B1220" w:rsidRPr="00A81AFE">
        <w:rPr>
          <w:lang w:val="en-IE"/>
        </w:rPr>
        <w:t xml:space="preserve"> human health and the environment </w:t>
      </w:r>
      <w:r w:rsidR="0032697B" w:rsidRPr="00A81AFE">
        <w:rPr>
          <w:lang w:val="en-IE"/>
        </w:rPr>
        <w:t>posed by</w:t>
      </w:r>
      <w:r w:rsidR="00DB68E1" w:rsidRPr="00A81AFE">
        <w:rPr>
          <w:lang w:val="en-IE"/>
        </w:rPr>
        <w:t>: (i)</w:t>
      </w:r>
      <w:r w:rsidR="004A769C" w:rsidRPr="00A81AFE">
        <w:rPr>
          <w:lang w:val="en-IE"/>
        </w:rPr>
        <w:t> </w:t>
      </w:r>
      <w:r w:rsidR="00FC3A0E" w:rsidRPr="00A81AFE">
        <w:rPr>
          <w:lang w:val="en-IE"/>
        </w:rPr>
        <w:t>lead and lead compounds in ammunition,</w:t>
      </w:r>
      <w:r w:rsidR="00BB04D4" w:rsidRPr="00A81AFE">
        <w:rPr>
          <w:lang w:val="en-IE"/>
        </w:rPr>
        <w:t xml:space="preserve"> including</w:t>
      </w:r>
      <w:r w:rsidR="00FC3A0E" w:rsidRPr="00A81AFE">
        <w:rPr>
          <w:lang w:val="en-IE"/>
        </w:rPr>
        <w:t xml:space="preserve"> gunshot used in terrains other than wetlands and bullets used both in wetlands and in terrains other than wetlands</w:t>
      </w:r>
      <w:r w:rsidR="00DB68E1" w:rsidRPr="00A81AFE">
        <w:rPr>
          <w:lang w:val="en-IE"/>
        </w:rPr>
        <w:t>; and (ii)</w:t>
      </w:r>
      <w:r w:rsidR="004A769C" w:rsidRPr="00A81AFE">
        <w:rPr>
          <w:lang w:val="en-IE"/>
        </w:rPr>
        <w:t> </w:t>
      </w:r>
      <w:r w:rsidR="00FC3A0E" w:rsidRPr="00A81AFE">
        <w:rPr>
          <w:lang w:val="en-IE"/>
        </w:rPr>
        <w:t xml:space="preserve">lead </w:t>
      </w:r>
      <w:r w:rsidR="005F58CF" w:rsidRPr="00A81AFE">
        <w:rPr>
          <w:lang w:val="en-IE"/>
        </w:rPr>
        <w:t xml:space="preserve">and lead compounds </w:t>
      </w:r>
      <w:r w:rsidR="00FC3A0E" w:rsidRPr="00A81AFE">
        <w:rPr>
          <w:lang w:val="en-IE"/>
        </w:rPr>
        <w:t>in fishing tackle.</w:t>
      </w:r>
      <w:bookmarkEnd w:id="1"/>
      <w:r w:rsidR="00BF7958" w:rsidRPr="00A81AFE">
        <w:rPr>
          <w:lang w:val="en-IE"/>
        </w:rPr>
        <w:t xml:space="preserve"> The mandate did not extend to uses of ammunition for indoor shooting, or to uses by the police, the military and other security forces.</w:t>
      </w:r>
    </w:p>
    <w:p w14:paraId="22F2E81B" w14:textId="77777777" w:rsidR="00505D3B" w:rsidRPr="00A81AFE" w:rsidRDefault="007F176A" w:rsidP="005C79BB">
      <w:pPr>
        <w:pStyle w:val="Considrant"/>
        <w:rPr>
          <w:lang w:val="en-IE"/>
        </w:rPr>
      </w:pPr>
      <w:r w:rsidRPr="00A81AFE">
        <w:rPr>
          <w:lang w:val="en-IE"/>
        </w:rPr>
        <w:t xml:space="preserve">On </w:t>
      </w:r>
      <w:r w:rsidR="00275146" w:rsidRPr="00A81AFE">
        <w:rPr>
          <w:lang w:val="en-IE"/>
        </w:rPr>
        <w:t>24</w:t>
      </w:r>
      <w:r w:rsidR="004A769C" w:rsidRPr="00A81AFE">
        <w:rPr>
          <w:lang w:val="en-IE"/>
        </w:rPr>
        <w:t> </w:t>
      </w:r>
      <w:r w:rsidR="00275146" w:rsidRPr="00A81AFE">
        <w:rPr>
          <w:lang w:val="en-IE"/>
        </w:rPr>
        <w:t>March</w:t>
      </w:r>
      <w:r w:rsidR="00764390" w:rsidRPr="00A81AFE">
        <w:rPr>
          <w:lang w:val="en-IE"/>
        </w:rPr>
        <w:t> </w:t>
      </w:r>
      <w:r w:rsidRPr="00A81AFE">
        <w:rPr>
          <w:lang w:val="en-IE"/>
        </w:rPr>
        <w:t>2021, the Agency published the Annex</w:t>
      </w:r>
      <w:r w:rsidR="004A769C" w:rsidRPr="00A81AFE">
        <w:rPr>
          <w:szCs w:val="24"/>
          <w:lang w:val="en-IE"/>
        </w:rPr>
        <w:t> </w:t>
      </w:r>
      <w:r w:rsidRPr="00A81AFE">
        <w:rPr>
          <w:lang w:val="en-IE"/>
        </w:rPr>
        <w:t>XV dossier</w:t>
      </w:r>
      <w:r w:rsidR="005D2726" w:rsidRPr="00A81AFE">
        <w:rPr>
          <w:szCs w:val="24"/>
          <w:lang w:val="en-IE"/>
        </w:rPr>
        <w:t> </w:t>
      </w:r>
      <w:r w:rsidR="0062082D" w:rsidRPr="00A81AFE">
        <w:rPr>
          <w:rStyle w:val="Allmrkuseviide"/>
          <w:lang w:val="en-IE"/>
        </w:rPr>
        <w:footnoteReference w:id="8"/>
      </w:r>
      <w:r w:rsidRPr="00A81AFE">
        <w:rPr>
          <w:lang w:val="en-IE"/>
        </w:rPr>
        <w:t xml:space="preserve"> </w:t>
      </w:r>
      <w:r w:rsidR="009912E2" w:rsidRPr="00A81AFE">
        <w:rPr>
          <w:szCs w:val="24"/>
          <w:lang w:val="en-IE"/>
        </w:rPr>
        <w:t>in which</w:t>
      </w:r>
      <w:r w:rsidR="00223F92" w:rsidRPr="00A81AFE">
        <w:rPr>
          <w:lang w:val="en-IE"/>
        </w:rPr>
        <w:t xml:space="preserve"> </w:t>
      </w:r>
      <w:r w:rsidR="00135762" w:rsidRPr="00A81AFE">
        <w:rPr>
          <w:lang w:val="en-IE"/>
        </w:rPr>
        <w:t>it</w:t>
      </w:r>
      <w:r w:rsidR="00223F92" w:rsidRPr="00A81AFE">
        <w:rPr>
          <w:lang w:val="en-IE"/>
        </w:rPr>
        <w:t xml:space="preserve"> concluded that</w:t>
      </w:r>
      <w:r w:rsidR="005C79BB" w:rsidRPr="00A81AFE">
        <w:rPr>
          <w:lang w:val="en-IE"/>
        </w:rPr>
        <w:t xml:space="preserve"> lead in ammunition and fishing tackle pose</w:t>
      </w:r>
      <w:r w:rsidR="009C3A88" w:rsidRPr="00A81AFE">
        <w:rPr>
          <w:lang w:val="en-IE"/>
        </w:rPr>
        <w:t>s</w:t>
      </w:r>
      <w:r w:rsidR="005C79BB" w:rsidRPr="00A81AFE">
        <w:rPr>
          <w:lang w:val="en-IE"/>
        </w:rPr>
        <w:t xml:space="preserve"> a risk to the environment </w:t>
      </w:r>
      <w:r w:rsidR="00B22FAB" w:rsidRPr="00A81AFE">
        <w:t xml:space="preserve">and human health, </w:t>
      </w:r>
      <w:r w:rsidR="00BF30F3" w:rsidRPr="00A81AFE">
        <w:t xml:space="preserve">in </w:t>
      </w:r>
      <w:r w:rsidR="00B22FAB" w:rsidRPr="00A81AFE">
        <w:t>particular to vulnerable populations such as children</w:t>
      </w:r>
      <w:r w:rsidR="005C79BB" w:rsidRPr="00A81AFE">
        <w:rPr>
          <w:lang w:val="en-IE"/>
        </w:rPr>
        <w:t>that is not adequately controlled</w:t>
      </w:r>
      <w:r w:rsidR="00505D3B" w:rsidRPr="00A81AFE">
        <w:rPr>
          <w:lang w:val="en-IE"/>
        </w:rPr>
        <w:t xml:space="preserve"> and </w:t>
      </w:r>
      <w:r w:rsidR="00135762" w:rsidRPr="00A81AFE">
        <w:rPr>
          <w:lang w:val="en-IE"/>
        </w:rPr>
        <w:t xml:space="preserve">that </w:t>
      </w:r>
      <w:r w:rsidR="00505D3B" w:rsidRPr="00A81AFE">
        <w:rPr>
          <w:lang w:val="en-IE"/>
        </w:rPr>
        <w:t>needs to be addressed on a Union-wide basis</w:t>
      </w:r>
      <w:r w:rsidR="005C79BB" w:rsidRPr="00A81AFE">
        <w:rPr>
          <w:lang w:val="en-IE"/>
        </w:rPr>
        <w:t xml:space="preserve">. </w:t>
      </w:r>
      <w:r w:rsidR="00906E39" w:rsidRPr="00A81AFE">
        <w:t>With regard to the risk for the environment</w:t>
      </w:r>
      <w:r w:rsidR="007E0C9C" w:rsidRPr="00A81AFE">
        <w:t>,</w:t>
      </w:r>
      <w:r w:rsidR="005C79BB" w:rsidRPr="00A81AFE">
        <w:rPr>
          <w:lang w:val="en-IE"/>
        </w:rPr>
        <w:t xml:space="preserve"> </w:t>
      </w:r>
      <w:r w:rsidR="00223F92" w:rsidRPr="00A81AFE">
        <w:rPr>
          <w:lang w:val="en-IE"/>
        </w:rPr>
        <w:t>the ingestion by birds</w:t>
      </w:r>
      <w:r w:rsidR="00077E78" w:rsidRPr="00A81AFE">
        <w:rPr>
          <w:lang w:val="en-IE"/>
        </w:rPr>
        <w:t xml:space="preserve"> and other animals</w:t>
      </w:r>
      <w:r w:rsidR="00223F92" w:rsidRPr="00A81AFE">
        <w:rPr>
          <w:lang w:val="en-IE"/>
        </w:rPr>
        <w:t xml:space="preserve"> of </w:t>
      </w:r>
      <w:r w:rsidR="00491635" w:rsidRPr="00A81AFE">
        <w:rPr>
          <w:lang w:val="en-IE"/>
        </w:rPr>
        <w:t xml:space="preserve">unrecovered </w:t>
      </w:r>
      <w:r w:rsidR="00223F92" w:rsidRPr="00A81AFE">
        <w:rPr>
          <w:lang w:val="en-IE"/>
        </w:rPr>
        <w:t>lead ammunition, sinkers and lures</w:t>
      </w:r>
      <w:r w:rsidR="00F54AF9" w:rsidRPr="00A81AFE">
        <w:rPr>
          <w:lang w:val="en-IE"/>
        </w:rPr>
        <w:t xml:space="preserve"> from hunting, sports shooting and fishing activities </w:t>
      </w:r>
      <w:r w:rsidR="00223F92" w:rsidRPr="00A81AFE">
        <w:rPr>
          <w:lang w:val="en-IE"/>
        </w:rPr>
        <w:t xml:space="preserve">results in </w:t>
      </w:r>
      <w:r w:rsidR="00F54AF9" w:rsidRPr="00A81AFE">
        <w:rPr>
          <w:lang w:val="en-IE"/>
        </w:rPr>
        <w:t>the poisoning and frequent death of animal</w:t>
      </w:r>
      <w:r w:rsidR="009C3A88" w:rsidRPr="00A81AFE">
        <w:rPr>
          <w:lang w:val="en-IE"/>
        </w:rPr>
        <w:t>s</w:t>
      </w:r>
      <w:r w:rsidR="005C79BB" w:rsidRPr="00A81AFE">
        <w:rPr>
          <w:lang w:val="en-IE"/>
        </w:rPr>
        <w:t>.</w:t>
      </w:r>
      <w:r w:rsidR="00223F92" w:rsidRPr="00A81AFE">
        <w:rPr>
          <w:lang w:val="en-IE"/>
        </w:rPr>
        <w:t xml:space="preserve"> </w:t>
      </w:r>
      <w:r w:rsidR="00077E78" w:rsidRPr="00A81AFE">
        <w:rPr>
          <w:lang w:val="en-IE"/>
        </w:rPr>
        <w:t>Furthermore,</w:t>
      </w:r>
      <w:r w:rsidR="00223F92" w:rsidRPr="00A81AFE">
        <w:rPr>
          <w:lang w:val="en-IE"/>
        </w:rPr>
        <w:t xml:space="preserve"> lead accumulation at sports</w:t>
      </w:r>
      <w:r w:rsidR="00DF6DFC" w:rsidRPr="00A81AFE">
        <w:rPr>
          <w:lang w:val="en-IE"/>
        </w:rPr>
        <w:t>-</w:t>
      </w:r>
      <w:r w:rsidR="00223F92" w:rsidRPr="00A81AFE">
        <w:rPr>
          <w:lang w:val="en-IE"/>
        </w:rPr>
        <w:t xml:space="preserve">shooting ranges </w:t>
      </w:r>
      <w:r w:rsidR="00491635" w:rsidRPr="00A81AFE">
        <w:rPr>
          <w:lang w:val="en-IE"/>
        </w:rPr>
        <w:t>can</w:t>
      </w:r>
      <w:r w:rsidR="00223F92" w:rsidRPr="00A81AFE">
        <w:rPr>
          <w:lang w:val="en-IE"/>
        </w:rPr>
        <w:t xml:space="preserve"> result in </w:t>
      </w:r>
      <w:r w:rsidR="00135762" w:rsidRPr="00A81AFE">
        <w:rPr>
          <w:lang w:val="en-IE"/>
        </w:rPr>
        <w:t>the</w:t>
      </w:r>
      <w:r w:rsidR="00223F92" w:rsidRPr="00A81AFE">
        <w:rPr>
          <w:lang w:val="en-IE"/>
        </w:rPr>
        <w:t xml:space="preserve"> </w:t>
      </w:r>
      <w:r w:rsidR="00516DF1" w:rsidRPr="00A81AFE">
        <w:rPr>
          <w:lang w:val="en-IE"/>
        </w:rPr>
        <w:t>leac</w:t>
      </w:r>
      <w:r w:rsidR="00516DF1" w:rsidRPr="00A81AFE">
        <w:t>hing</w:t>
      </w:r>
      <w:r w:rsidR="00223F92" w:rsidRPr="00A81AFE">
        <w:rPr>
          <w:lang w:val="en-IE"/>
        </w:rPr>
        <w:t xml:space="preserve"> of lead</w:t>
      </w:r>
      <w:r w:rsidR="007E438E" w:rsidRPr="00A81AFE">
        <w:rPr>
          <w:lang w:val="en-IE"/>
        </w:rPr>
        <w:t>-</w:t>
      </w:r>
      <w:r w:rsidR="00223F92" w:rsidRPr="00A81AFE">
        <w:rPr>
          <w:lang w:val="en-IE"/>
        </w:rPr>
        <w:t>polluted surface water into local watercourses and may affect groundwater, potentially poisoning</w:t>
      </w:r>
      <w:r w:rsidR="007E438E" w:rsidRPr="00A81AFE">
        <w:rPr>
          <w:lang w:val="en-IE"/>
        </w:rPr>
        <w:t xml:space="preserve"> people, </w:t>
      </w:r>
      <w:r w:rsidR="00223F92" w:rsidRPr="00A81AFE">
        <w:rPr>
          <w:lang w:val="en-IE"/>
        </w:rPr>
        <w:t>livestock and wildlife. The Agency also concluded that</w:t>
      </w:r>
      <w:r w:rsidR="007E438E" w:rsidRPr="00A81AFE">
        <w:rPr>
          <w:lang w:val="en-IE"/>
        </w:rPr>
        <w:t xml:space="preserve"> there are human</w:t>
      </w:r>
      <w:r w:rsidR="001270E0" w:rsidRPr="00A81AFE">
        <w:rPr>
          <w:lang w:val="en-IE"/>
        </w:rPr>
        <w:t xml:space="preserve"> </w:t>
      </w:r>
      <w:r w:rsidR="007E438E" w:rsidRPr="00A81AFE">
        <w:rPr>
          <w:lang w:val="en-IE"/>
        </w:rPr>
        <w:t xml:space="preserve">health risks associated with consuming </w:t>
      </w:r>
      <w:r w:rsidR="00F8618A" w:rsidRPr="00A81AFE">
        <w:rPr>
          <w:lang w:val="en-IE"/>
        </w:rPr>
        <w:t xml:space="preserve">the </w:t>
      </w:r>
      <w:r w:rsidR="007E438E" w:rsidRPr="00A81AFE">
        <w:rPr>
          <w:lang w:val="en-IE"/>
        </w:rPr>
        <w:t xml:space="preserve">meat </w:t>
      </w:r>
      <w:r w:rsidR="00F8618A" w:rsidRPr="00A81AFE">
        <w:rPr>
          <w:lang w:val="en-IE"/>
        </w:rPr>
        <w:t>of animals</w:t>
      </w:r>
      <w:r w:rsidR="007E438E" w:rsidRPr="00A81AFE">
        <w:rPr>
          <w:lang w:val="en-IE"/>
        </w:rPr>
        <w:t xml:space="preserve"> killed with lead ammunition, particularly for children aged </w:t>
      </w:r>
      <w:r w:rsidR="00135762" w:rsidRPr="00A81AFE">
        <w:rPr>
          <w:lang w:val="en-IE"/>
        </w:rPr>
        <w:t xml:space="preserve">7 </w:t>
      </w:r>
      <w:r w:rsidR="007E438E" w:rsidRPr="00A81AFE">
        <w:rPr>
          <w:lang w:val="en-IE"/>
        </w:rPr>
        <w:t>and younger</w:t>
      </w:r>
      <w:r w:rsidR="00505D3B" w:rsidRPr="00A81AFE">
        <w:rPr>
          <w:lang w:val="en-IE"/>
        </w:rPr>
        <w:t>, or when making lead ammunition or sinkers or lures at home</w:t>
      </w:r>
      <w:r w:rsidR="00223F92" w:rsidRPr="00A81AFE">
        <w:rPr>
          <w:lang w:val="en-IE"/>
        </w:rPr>
        <w:t xml:space="preserve">. </w:t>
      </w:r>
    </w:p>
    <w:p w14:paraId="5BBF0855" w14:textId="77777777" w:rsidR="00505D3B" w:rsidRPr="00A81AFE" w:rsidRDefault="00505D3B" w:rsidP="00505D3B">
      <w:pPr>
        <w:pStyle w:val="Considrant"/>
        <w:rPr>
          <w:lang w:val="en-IE"/>
        </w:rPr>
      </w:pPr>
      <w:r w:rsidRPr="00A81AFE">
        <w:rPr>
          <w:lang w:val="en-IE"/>
        </w:rPr>
        <w:t xml:space="preserve">The Agency estimated that, </w:t>
      </w:r>
      <w:r w:rsidR="00AE6A61" w:rsidRPr="00A81AFE">
        <w:rPr>
          <w:lang w:val="en-IE"/>
        </w:rPr>
        <w:t xml:space="preserve">if the current releases of lead from shooting and fishing </w:t>
      </w:r>
      <w:r w:rsidR="00135762" w:rsidRPr="00A81AFE">
        <w:rPr>
          <w:lang w:val="en-IE"/>
        </w:rPr>
        <w:t>in the</w:t>
      </w:r>
      <w:r w:rsidR="002E7FA2" w:rsidRPr="00A81AFE">
        <w:t>Union</w:t>
      </w:r>
      <w:r w:rsidR="00135762" w:rsidRPr="00A81AFE">
        <w:rPr>
          <w:lang w:val="en-IE"/>
        </w:rPr>
        <w:t xml:space="preserve"> </w:t>
      </w:r>
      <w:r w:rsidR="00AE6A61" w:rsidRPr="00A81AFE">
        <w:rPr>
          <w:lang w:val="en-IE"/>
        </w:rPr>
        <w:t>continue, approximately 876</w:t>
      </w:r>
      <w:r w:rsidR="009912E2" w:rsidRPr="00A81AFE">
        <w:rPr>
          <w:lang w:val="en-IE"/>
        </w:rPr>
        <w:t> </w:t>
      </w:r>
      <w:r w:rsidR="00AE6A61" w:rsidRPr="00A81AFE">
        <w:rPr>
          <w:lang w:val="en-IE"/>
        </w:rPr>
        <w:t xml:space="preserve">000 tonnes of lead </w:t>
      </w:r>
      <w:r w:rsidR="00D74721" w:rsidRPr="00A81AFE">
        <w:rPr>
          <w:lang w:val="en-IE"/>
        </w:rPr>
        <w:t>will be released</w:t>
      </w:r>
      <w:r w:rsidR="00AE6A61" w:rsidRPr="00A81AFE">
        <w:rPr>
          <w:lang w:val="en-IE"/>
        </w:rPr>
        <w:t xml:space="preserve"> in</w:t>
      </w:r>
      <w:r w:rsidR="005C1EC5" w:rsidRPr="00A81AFE">
        <w:rPr>
          <w:lang w:val="en-IE"/>
        </w:rPr>
        <w:t>to</w:t>
      </w:r>
      <w:r w:rsidR="00AE6A61" w:rsidRPr="00A81AFE">
        <w:rPr>
          <w:lang w:val="en-IE"/>
        </w:rPr>
        <w:t xml:space="preserve"> the environment over the next 20 years</w:t>
      </w:r>
      <w:r w:rsidR="0052234C" w:rsidRPr="00A81AFE">
        <w:rPr>
          <w:lang w:val="en-IE"/>
        </w:rPr>
        <w:t>. This will place</w:t>
      </w:r>
      <w:r w:rsidR="00AE6A61" w:rsidRPr="00A81AFE">
        <w:rPr>
          <w:lang w:val="en-IE"/>
        </w:rPr>
        <w:t xml:space="preserve"> </w:t>
      </w:r>
      <w:r w:rsidRPr="00A81AFE">
        <w:rPr>
          <w:lang w:val="en-IE"/>
        </w:rPr>
        <w:t>at least</w:t>
      </w:r>
      <w:r w:rsidR="00135762" w:rsidRPr="00A81AFE">
        <w:rPr>
          <w:lang w:val="en-IE"/>
        </w:rPr>
        <w:t>: (i)</w:t>
      </w:r>
      <w:r w:rsidR="006462D9" w:rsidRPr="00A81AFE">
        <w:rPr>
          <w:lang w:val="en-IE"/>
        </w:rPr>
        <w:t> </w:t>
      </w:r>
      <w:r w:rsidRPr="00A81AFE">
        <w:t>135</w:t>
      </w:r>
      <w:r w:rsidR="006462D9" w:rsidRPr="00A81AFE">
        <w:rPr>
          <w:lang w:val="en-IE"/>
        </w:rPr>
        <w:t> </w:t>
      </w:r>
      <w:r w:rsidRPr="00A81AFE">
        <w:t>million birds</w:t>
      </w:r>
      <w:r w:rsidRPr="00A81AFE">
        <w:rPr>
          <w:lang w:val="en-IE"/>
        </w:rPr>
        <w:t xml:space="preserve"> at risk of poisoning through ingestion of lead gunshot</w:t>
      </w:r>
      <w:r w:rsidR="00135762" w:rsidRPr="00A81AFE">
        <w:rPr>
          <w:lang w:val="en-IE"/>
        </w:rPr>
        <w:t>; (ii)</w:t>
      </w:r>
      <w:r w:rsidR="006462D9" w:rsidRPr="00A81AFE">
        <w:rPr>
          <w:lang w:val="en-IE"/>
        </w:rPr>
        <w:t> </w:t>
      </w:r>
      <w:r w:rsidRPr="00A81AFE">
        <w:rPr>
          <w:lang w:val="en-IE"/>
        </w:rPr>
        <w:t>14</w:t>
      </w:r>
      <w:r w:rsidR="006462D9" w:rsidRPr="00A81AFE">
        <w:rPr>
          <w:lang w:val="en-IE"/>
        </w:rPr>
        <w:t> </w:t>
      </w:r>
      <w:r w:rsidRPr="00A81AFE">
        <w:rPr>
          <w:lang w:val="en-IE"/>
        </w:rPr>
        <w:t>million birds at risk of poisoning through ingestion of lead via the consumption of food</w:t>
      </w:r>
      <w:r w:rsidR="00135762" w:rsidRPr="00A81AFE">
        <w:rPr>
          <w:lang w:val="en-IE"/>
        </w:rPr>
        <w:t>;</w:t>
      </w:r>
      <w:r w:rsidRPr="00A81AFE">
        <w:rPr>
          <w:lang w:val="en-IE"/>
        </w:rPr>
        <w:t xml:space="preserve"> and </w:t>
      </w:r>
      <w:r w:rsidR="00135762" w:rsidRPr="00A81AFE">
        <w:rPr>
          <w:lang w:val="en-IE"/>
        </w:rPr>
        <w:t>(iii)</w:t>
      </w:r>
      <w:r w:rsidR="006462D9" w:rsidRPr="00A81AFE">
        <w:rPr>
          <w:lang w:val="en-IE"/>
        </w:rPr>
        <w:t> </w:t>
      </w:r>
      <w:r w:rsidRPr="00A81AFE">
        <w:rPr>
          <w:lang w:val="en-IE"/>
        </w:rPr>
        <w:t>7</w:t>
      </w:r>
      <w:r w:rsidR="006462D9" w:rsidRPr="00A81AFE">
        <w:rPr>
          <w:lang w:val="en-IE"/>
        </w:rPr>
        <w:t> </w:t>
      </w:r>
      <w:r w:rsidRPr="00A81AFE">
        <w:rPr>
          <w:lang w:val="en-IE"/>
        </w:rPr>
        <w:t>million birds at risk of poisoning because of the ingestion of sinkers and lures. In addition, the Agency estimated that</w:t>
      </w:r>
      <w:r w:rsidR="001270E0" w:rsidRPr="00A81AFE">
        <w:rPr>
          <w:lang w:val="en-IE"/>
        </w:rPr>
        <w:t>,</w:t>
      </w:r>
      <w:r w:rsidRPr="00A81AFE">
        <w:rPr>
          <w:lang w:val="en-IE"/>
        </w:rPr>
        <w:t xml:space="preserve"> each year</w:t>
      </w:r>
      <w:r w:rsidR="001270E0" w:rsidRPr="00A81AFE">
        <w:rPr>
          <w:lang w:val="en-IE"/>
        </w:rPr>
        <w:t>,</w:t>
      </w:r>
      <w:r w:rsidRPr="00A81AFE">
        <w:rPr>
          <w:lang w:val="en-IE"/>
        </w:rPr>
        <w:t xml:space="preserve"> about </w:t>
      </w:r>
      <w:r w:rsidR="006308F4" w:rsidRPr="00A81AFE">
        <w:t>13.8</w:t>
      </w:r>
      <w:r w:rsidR="006462D9" w:rsidRPr="00A81AFE">
        <w:rPr>
          <w:lang w:val="en-IE"/>
        </w:rPr>
        <w:t> </w:t>
      </w:r>
      <w:r w:rsidR="006308F4" w:rsidRPr="00A81AFE">
        <w:t>million</w:t>
      </w:r>
      <w:r w:rsidR="006308F4" w:rsidRPr="00A81AFE">
        <w:rPr>
          <w:lang w:val="en-IE"/>
        </w:rPr>
        <w:t xml:space="preserve"> </w:t>
      </w:r>
      <w:r w:rsidR="00380056" w:rsidRPr="00A81AFE">
        <w:rPr>
          <w:lang w:val="en-IE"/>
        </w:rPr>
        <w:t xml:space="preserve">individuals from </w:t>
      </w:r>
      <w:r w:rsidR="006308F4" w:rsidRPr="00A81AFE">
        <w:rPr>
          <w:lang w:val="en-IE"/>
        </w:rPr>
        <w:t>hunter</w:t>
      </w:r>
      <w:r w:rsidR="00862244" w:rsidRPr="00A81AFE">
        <w:rPr>
          <w:lang w:val="en-IE"/>
        </w:rPr>
        <w:t>s’</w:t>
      </w:r>
      <w:r w:rsidR="00380056" w:rsidRPr="00A81AFE">
        <w:rPr>
          <w:lang w:val="en-IE"/>
        </w:rPr>
        <w:t xml:space="preserve"> families</w:t>
      </w:r>
      <w:r w:rsidR="006308F4" w:rsidRPr="00A81AFE">
        <w:rPr>
          <w:lang w:val="en-IE"/>
        </w:rPr>
        <w:t xml:space="preserve">, including </w:t>
      </w:r>
      <w:r w:rsidRPr="00A81AFE">
        <w:t>1</w:t>
      </w:r>
      <w:r w:rsidR="00380056" w:rsidRPr="00A81AFE">
        <w:t>.1</w:t>
      </w:r>
      <w:r w:rsidR="006462D9" w:rsidRPr="00A81AFE">
        <w:rPr>
          <w:lang w:val="en-IE"/>
        </w:rPr>
        <w:t> </w:t>
      </w:r>
      <w:r w:rsidRPr="00A81AFE">
        <w:t>million</w:t>
      </w:r>
      <w:r w:rsidRPr="00A81AFE">
        <w:rPr>
          <w:lang w:val="en-IE"/>
        </w:rPr>
        <w:t xml:space="preserve"> children </w:t>
      </w:r>
      <w:r w:rsidR="00380056" w:rsidRPr="00A81AFE">
        <w:rPr>
          <w:lang w:val="en-IE"/>
        </w:rPr>
        <w:t xml:space="preserve">aged 7 </w:t>
      </w:r>
      <w:r w:rsidR="00D158E5" w:rsidRPr="00A81AFE">
        <w:rPr>
          <w:lang w:val="en-IE"/>
        </w:rPr>
        <w:t>or younger</w:t>
      </w:r>
      <w:r w:rsidR="00380056" w:rsidRPr="00A81AFE">
        <w:rPr>
          <w:lang w:val="en-IE"/>
        </w:rPr>
        <w:t xml:space="preserve">, </w:t>
      </w:r>
      <w:r w:rsidRPr="00A81AFE">
        <w:rPr>
          <w:lang w:val="en-IE"/>
        </w:rPr>
        <w:t>are vulnerable to lead exposure</w:t>
      </w:r>
      <w:r w:rsidR="00380056" w:rsidRPr="00A81AFE">
        <w:rPr>
          <w:lang w:val="en-IE"/>
        </w:rPr>
        <w:t xml:space="preserve"> from game meat</w:t>
      </w:r>
      <w:r w:rsidRPr="00A81AFE">
        <w:rPr>
          <w:lang w:val="en-IE"/>
        </w:rPr>
        <w:t>.</w:t>
      </w:r>
    </w:p>
    <w:p w14:paraId="4AAF8B61" w14:textId="77777777" w:rsidR="00FC3A0E" w:rsidRPr="00A81AFE" w:rsidRDefault="00077E78" w:rsidP="005C79BB">
      <w:pPr>
        <w:pStyle w:val="Considrant"/>
        <w:rPr>
          <w:lang w:val="en-IE"/>
        </w:rPr>
      </w:pPr>
      <w:r w:rsidRPr="00A81AFE">
        <w:rPr>
          <w:lang w:val="en-IE"/>
        </w:rPr>
        <w:t xml:space="preserve">Against this background, the Agency proposed </w:t>
      </w:r>
      <w:r w:rsidR="007F176A" w:rsidRPr="00A81AFE">
        <w:rPr>
          <w:lang w:val="en-IE"/>
        </w:rPr>
        <w:t xml:space="preserve">a restriction on the placing on the market and use of lead and lead compounds </w:t>
      </w:r>
      <w:r w:rsidR="009D68D3" w:rsidRPr="00A81AFE">
        <w:rPr>
          <w:lang w:val="en-IE"/>
        </w:rPr>
        <w:t xml:space="preserve">in a concentration of equal to or greater </w:t>
      </w:r>
      <w:r w:rsidR="00293044" w:rsidRPr="00A81AFE">
        <w:rPr>
          <w:lang w:val="en-IE"/>
        </w:rPr>
        <w:lastRenderedPageBreak/>
        <w:t xml:space="preserve">than </w:t>
      </w:r>
      <w:r w:rsidR="009D68D3" w:rsidRPr="00A81AFE">
        <w:rPr>
          <w:lang w:val="en-IE"/>
        </w:rPr>
        <w:t xml:space="preserve">1% </w:t>
      </w:r>
      <w:r w:rsidR="007F176A" w:rsidRPr="00A81AFE">
        <w:rPr>
          <w:lang w:val="en-IE"/>
        </w:rPr>
        <w:t>in sinkers and lures, fishing wires</w:t>
      </w:r>
      <w:r w:rsidR="00142AF8" w:rsidRPr="00A81AFE">
        <w:rPr>
          <w:lang w:val="en-IE"/>
        </w:rPr>
        <w:t xml:space="preserve"> </w:t>
      </w:r>
      <w:r w:rsidR="007F176A" w:rsidRPr="00A81AFE">
        <w:rPr>
          <w:lang w:val="en-IE"/>
        </w:rPr>
        <w:t>and gunshot. The A</w:t>
      </w:r>
      <w:r w:rsidR="006A5475" w:rsidRPr="00A81AFE">
        <w:rPr>
          <w:lang w:val="en-IE"/>
        </w:rPr>
        <w:t>gency</w:t>
      </w:r>
      <w:r w:rsidR="007F176A" w:rsidRPr="00A81AFE">
        <w:rPr>
          <w:lang w:val="en-IE"/>
        </w:rPr>
        <w:t xml:space="preserve"> also proposed a restriction on the use of lead and lead compounds </w:t>
      </w:r>
      <w:r w:rsidR="009D68D3" w:rsidRPr="00A81AFE">
        <w:rPr>
          <w:lang w:val="en-IE"/>
        </w:rPr>
        <w:t xml:space="preserve">in a concentration of equal to or greater </w:t>
      </w:r>
      <w:r w:rsidR="00293044" w:rsidRPr="00A81AFE">
        <w:rPr>
          <w:lang w:val="en-IE"/>
        </w:rPr>
        <w:t xml:space="preserve">than </w:t>
      </w:r>
      <w:r w:rsidR="009D68D3" w:rsidRPr="00A81AFE">
        <w:rPr>
          <w:lang w:val="en-IE"/>
        </w:rPr>
        <w:t xml:space="preserve">1% </w:t>
      </w:r>
      <w:r w:rsidR="007F176A" w:rsidRPr="00A81AFE">
        <w:rPr>
          <w:lang w:val="en-IE"/>
        </w:rPr>
        <w:t xml:space="preserve">in projectiles </w:t>
      </w:r>
      <w:r w:rsidR="009F696B" w:rsidRPr="00A81AFE">
        <w:rPr>
          <w:lang w:val="en-IE"/>
        </w:rPr>
        <w:t xml:space="preserve">other </w:t>
      </w:r>
      <w:r w:rsidR="007F176A" w:rsidRPr="00A81AFE">
        <w:rPr>
          <w:lang w:val="en-IE"/>
        </w:rPr>
        <w:t>than gunshot</w:t>
      </w:r>
      <w:r w:rsidR="00505D3B" w:rsidRPr="00A81AFE">
        <w:rPr>
          <w:lang w:val="en-IE"/>
        </w:rPr>
        <w:t xml:space="preserve"> (</w:t>
      </w:r>
      <w:r w:rsidR="00B10F80" w:rsidRPr="00A81AFE">
        <w:rPr>
          <w:lang w:val="en-IE"/>
        </w:rPr>
        <w:t>such as</w:t>
      </w:r>
      <w:r w:rsidR="009F696B" w:rsidRPr="00A81AFE">
        <w:rPr>
          <w:lang w:val="en-IE"/>
        </w:rPr>
        <w:t xml:space="preserve"> </w:t>
      </w:r>
      <w:r w:rsidR="00505D3B" w:rsidRPr="00A81AFE">
        <w:rPr>
          <w:lang w:val="en-IE"/>
        </w:rPr>
        <w:t>bullets and airgun pellets)</w:t>
      </w:r>
      <w:r w:rsidR="007F176A" w:rsidRPr="00A81AFE">
        <w:rPr>
          <w:lang w:val="en-IE"/>
        </w:rPr>
        <w:t xml:space="preserve"> and in </w:t>
      </w:r>
      <w:r w:rsidR="00D3074A" w:rsidRPr="00A81AFE">
        <w:rPr>
          <w:lang w:val="en-IE"/>
        </w:rPr>
        <w:t xml:space="preserve">drop-in </w:t>
      </w:r>
      <w:r w:rsidR="007F176A" w:rsidRPr="00A81AFE">
        <w:rPr>
          <w:lang w:val="en-IE"/>
        </w:rPr>
        <w:t>sinkers. Moreover, the A</w:t>
      </w:r>
      <w:r w:rsidR="006A5475" w:rsidRPr="00A81AFE">
        <w:rPr>
          <w:lang w:val="en-IE"/>
        </w:rPr>
        <w:t>gency</w:t>
      </w:r>
      <w:r w:rsidR="007F176A" w:rsidRPr="00A81AFE">
        <w:rPr>
          <w:lang w:val="en-IE"/>
        </w:rPr>
        <w:t xml:space="preserve"> proposed </w:t>
      </w:r>
      <w:r w:rsidR="00091911" w:rsidRPr="00A81AFE">
        <w:rPr>
          <w:lang w:val="en-IE"/>
        </w:rPr>
        <w:t>imposing</w:t>
      </w:r>
      <w:r w:rsidR="007F176A" w:rsidRPr="00A81AFE">
        <w:rPr>
          <w:lang w:val="en-IE"/>
        </w:rPr>
        <w:t xml:space="preserve"> information </w:t>
      </w:r>
      <w:r w:rsidR="00D74721" w:rsidRPr="00A81AFE">
        <w:rPr>
          <w:lang w:val="en-IE"/>
        </w:rPr>
        <w:t xml:space="preserve">obligations </w:t>
      </w:r>
      <w:r w:rsidR="00142AF8" w:rsidRPr="00A81AFE">
        <w:rPr>
          <w:lang w:val="en-IE"/>
        </w:rPr>
        <w:t xml:space="preserve">on </w:t>
      </w:r>
      <w:r w:rsidR="00D74721" w:rsidRPr="00A81AFE">
        <w:rPr>
          <w:lang w:val="en-IE"/>
        </w:rPr>
        <w:t xml:space="preserve">retailers </w:t>
      </w:r>
      <w:r w:rsidR="00091911" w:rsidRPr="00A81AFE">
        <w:rPr>
          <w:lang w:val="en-IE"/>
        </w:rPr>
        <w:t xml:space="preserve">of </w:t>
      </w:r>
      <w:r w:rsidR="00091911" w:rsidRPr="00A81AFE">
        <w:t>th</w:t>
      </w:r>
      <w:r w:rsidR="00C228CC" w:rsidRPr="00A81AFE">
        <w:t>o</w:t>
      </w:r>
      <w:r w:rsidR="00091911" w:rsidRPr="00A81AFE">
        <w:t>se</w:t>
      </w:r>
      <w:r w:rsidR="00091911" w:rsidRPr="00A81AFE">
        <w:rPr>
          <w:lang w:val="en-IE"/>
        </w:rPr>
        <w:t xml:space="preserve"> products</w:t>
      </w:r>
      <w:r w:rsidR="00D74721" w:rsidRPr="00A81AFE">
        <w:rPr>
          <w:lang w:val="en-IE"/>
        </w:rPr>
        <w:t xml:space="preserve"> </w:t>
      </w:r>
      <w:r w:rsidR="007F176A" w:rsidRPr="00A81AFE">
        <w:rPr>
          <w:lang w:val="en-IE"/>
        </w:rPr>
        <w:t>and labelling obligations</w:t>
      </w:r>
      <w:r w:rsidR="00D74721" w:rsidRPr="00A81AFE">
        <w:rPr>
          <w:lang w:val="en-IE"/>
        </w:rPr>
        <w:t xml:space="preserve"> </w:t>
      </w:r>
      <w:r w:rsidR="00142AF8" w:rsidRPr="00A81AFE">
        <w:rPr>
          <w:lang w:val="en-IE"/>
        </w:rPr>
        <w:t xml:space="preserve">on </w:t>
      </w:r>
      <w:r w:rsidR="00D74721" w:rsidRPr="00A81AFE">
        <w:rPr>
          <w:lang w:val="en-IE"/>
        </w:rPr>
        <w:t>ammunition suppliers</w:t>
      </w:r>
      <w:r w:rsidR="007F176A" w:rsidRPr="00A81AFE">
        <w:rPr>
          <w:lang w:val="en-IE"/>
        </w:rPr>
        <w:t xml:space="preserve">. </w:t>
      </w:r>
      <w:r w:rsidR="00AE6A61" w:rsidRPr="00A81AFE">
        <w:rPr>
          <w:lang w:val="en-IE"/>
        </w:rPr>
        <w:t xml:space="preserve">The proposed restriction </w:t>
      </w:r>
      <w:r w:rsidR="00142AF8" w:rsidRPr="00A81AFE">
        <w:rPr>
          <w:lang w:val="en-IE"/>
        </w:rPr>
        <w:t xml:space="preserve">is </w:t>
      </w:r>
      <w:r w:rsidR="00AE6A61" w:rsidRPr="00A81AFE">
        <w:rPr>
          <w:lang w:val="en-IE"/>
        </w:rPr>
        <w:t>intend</w:t>
      </w:r>
      <w:r w:rsidR="00142AF8" w:rsidRPr="00A81AFE">
        <w:rPr>
          <w:lang w:val="en-IE"/>
        </w:rPr>
        <w:t>ed</w:t>
      </w:r>
      <w:r w:rsidR="00AE6A61" w:rsidRPr="00A81AFE">
        <w:rPr>
          <w:lang w:val="en-IE"/>
        </w:rPr>
        <w:t xml:space="preserve"> to reduce lead emissions by approximately 630</w:t>
      </w:r>
      <w:r w:rsidR="00142AF8" w:rsidRPr="00A81AFE">
        <w:rPr>
          <w:lang w:val="en-IE"/>
        </w:rPr>
        <w:t> </w:t>
      </w:r>
      <w:r w:rsidR="00AE6A61" w:rsidRPr="00A81AFE">
        <w:rPr>
          <w:lang w:val="en-IE"/>
        </w:rPr>
        <w:t>000 tonnes over the 20</w:t>
      </w:r>
      <w:r w:rsidR="006462D9" w:rsidRPr="00A81AFE">
        <w:rPr>
          <w:lang w:val="en-IE"/>
        </w:rPr>
        <w:t> </w:t>
      </w:r>
      <w:r w:rsidR="00AE6A61" w:rsidRPr="00A81AFE">
        <w:rPr>
          <w:lang w:val="en-IE"/>
        </w:rPr>
        <w:t xml:space="preserve">years following its introduction. This </w:t>
      </w:r>
      <w:r w:rsidR="009C3A88" w:rsidRPr="00A81AFE">
        <w:rPr>
          <w:lang w:val="en-IE"/>
        </w:rPr>
        <w:t>would be</w:t>
      </w:r>
      <w:r w:rsidR="00AE6A61" w:rsidRPr="00A81AFE">
        <w:rPr>
          <w:lang w:val="en-IE"/>
        </w:rPr>
        <w:t xml:space="preserve"> a reduction of 72% compared </w:t>
      </w:r>
      <w:r w:rsidR="00142AF8" w:rsidRPr="00A81AFE">
        <w:rPr>
          <w:lang w:val="en-IE"/>
        </w:rPr>
        <w:t>with</w:t>
      </w:r>
      <w:r w:rsidR="00AE6A61" w:rsidRPr="00A81AFE">
        <w:rPr>
          <w:lang w:val="en-IE"/>
        </w:rPr>
        <w:t xml:space="preserve"> a situation without the proposed restriction.</w:t>
      </w:r>
      <w:r w:rsidR="00D74721" w:rsidRPr="00A81AFE">
        <w:rPr>
          <w:lang w:val="en-IE"/>
        </w:rPr>
        <w:t xml:space="preserve"> The restriction would also avoid IQ loss in about 7</w:t>
      </w:r>
      <w:r w:rsidR="006462D9" w:rsidRPr="00A81AFE">
        <w:rPr>
          <w:lang w:val="en-IE"/>
        </w:rPr>
        <w:t> </w:t>
      </w:r>
      <w:r w:rsidR="00D74721" w:rsidRPr="00A81AFE">
        <w:rPr>
          <w:lang w:val="en-IE"/>
        </w:rPr>
        <w:t>000 children per year</w:t>
      </w:r>
      <w:r w:rsidR="006308F4" w:rsidRPr="00A81AFE">
        <w:rPr>
          <w:lang w:val="en-IE"/>
        </w:rPr>
        <w:t xml:space="preserve">, preventing a welfare loss of roughly </w:t>
      </w:r>
      <w:r w:rsidR="00091911" w:rsidRPr="00A81AFE">
        <w:rPr>
          <w:lang w:val="en-IE"/>
        </w:rPr>
        <w:t>EUR</w:t>
      </w:r>
      <w:r w:rsidR="006462D9" w:rsidRPr="00A81AFE">
        <w:rPr>
          <w:lang w:val="en-IE"/>
        </w:rPr>
        <w:t> </w:t>
      </w:r>
      <w:r w:rsidR="006308F4" w:rsidRPr="00A81AFE">
        <w:rPr>
          <w:lang w:val="en-IE"/>
        </w:rPr>
        <w:t>70</w:t>
      </w:r>
      <w:r w:rsidR="006462D9" w:rsidRPr="00A81AFE">
        <w:rPr>
          <w:lang w:val="en-IE"/>
        </w:rPr>
        <w:t> </w:t>
      </w:r>
      <w:r w:rsidR="006308F4" w:rsidRPr="00A81AFE">
        <w:rPr>
          <w:lang w:val="en-IE"/>
        </w:rPr>
        <w:t>million</w:t>
      </w:r>
      <w:r w:rsidR="00293044" w:rsidRPr="00A81AFE">
        <w:rPr>
          <w:lang w:val="en-IE"/>
        </w:rPr>
        <w:t>.</w:t>
      </w:r>
    </w:p>
    <w:p w14:paraId="4B82F4A9" w14:textId="77777777" w:rsidR="007A1E4A" w:rsidRPr="00A81AFE" w:rsidRDefault="00091911" w:rsidP="00D86993">
      <w:pPr>
        <w:pStyle w:val="Considrant"/>
        <w:rPr>
          <w:lang w:val="en-IE"/>
        </w:rPr>
      </w:pPr>
      <w:r w:rsidRPr="00A81AFE">
        <w:rPr>
          <w:lang w:val="en-IE"/>
        </w:rPr>
        <w:t>On</w:t>
      </w:r>
      <w:r w:rsidR="00DD6301" w:rsidRPr="00A81AFE">
        <w:rPr>
          <w:lang w:val="en-IE"/>
        </w:rPr>
        <w:t xml:space="preserve"> the availability of alternatives, t</w:t>
      </w:r>
      <w:r w:rsidR="00476FB0" w:rsidRPr="00A81AFE">
        <w:rPr>
          <w:lang w:val="en-IE"/>
        </w:rPr>
        <w:t>he Agency concluded that alternative ammunition for hunting</w:t>
      </w:r>
      <w:r w:rsidR="00142AF8" w:rsidRPr="00A81AFE">
        <w:rPr>
          <w:lang w:val="en-IE"/>
        </w:rPr>
        <w:t xml:space="preserve"> (</w:t>
      </w:r>
      <w:r w:rsidR="00476FB0" w:rsidRPr="00A81AFE">
        <w:rPr>
          <w:lang w:val="en-IE"/>
        </w:rPr>
        <w:t>such as steel and bismuth gunshot</w:t>
      </w:r>
      <w:r w:rsidR="009B43B7" w:rsidRPr="00A81AFE">
        <w:rPr>
          <w:lang w:val="en-IE"/>
        </w:rPr>
        <w:t>,</w:t>
      </w:r>
      <w:r w:rsidR="00476FB0" w:rsidRPr="00A81AFE">
        <w:rPr>
          <w:lang w:val="en-IE"/>
        </w:rPr>
        <w:t xml:space="preserve"> and copper and brass bullets</w:t>
      </w:r>
      <w:r w:rsidR="00142AF8" w:rsidRPr="00A81AFE">
        <w:rPr>
          <w:lang w:val="en-IE"/>
        </w:rPr>
        <w:t>)</w:t>
      </w:r>
      <w:r w:rsidRPr="00A81AFE">
        <w:rPr>
          <w:lang w:val="en-IE"/>
        </w:rPr>
        <w:t>: (i)</w:t>
      </w:r>
      <w:r w:rsidR="006462D9" w:rsidRPr="00A81AFE">
        <w:rPr>
          <w:lang w:val="en-IE"/>
        </w:rPr>
        <w:t> </w:t>
      </w:r>
      <w:r w:rsidR="00E1496C" w:rsidRPr="00A81AFE">
        <w:rPr>
          <w:lang w:val="en-IE"/>
        </w:rPr>
        <w:t xml:space="preserve">are </w:t>
      </w:r>
      <w:r w:rsidR="00476FB0" w:rsidRPr="00A81AFE">
        <w:rPr>
          <w:lang w:val="en-IE"/>
        </w:rPr>
        <w:t>widely used</w:t>
      </w:r>
      <w:r w:rsidRPr="00A81AFE">
        <w:rPr>
          <w:lang w:val="en-IE"/>
        </w:rPr>
        <w:t>; (ii)</w:t>
      </w:r>
      <w:r w:rsidR="006462D9" w:rsidRPr="00A81AFE">
        <w:rPr>
          <w:lang w:val="en-IE"/>
        </w:rPr>
        <w:t> </w:t>
      </w:r>
      <w:r w:rsidR="00E1496C" w:rsidRPr="00A81AFE">
        <w:rPr>
          <w:lang w:val="en-IE"/>
        </w:rPr>
        <w:t xml:space="preserve">are </w:t>
      </w:r>
      <w:r w:rsidR="00476FB0" w:rsidRPr="00A81AFE">
        <w:rPr>
          <w:lang w:val="en-IE"/>
        </w:rPr>
        <w:t>technically feasible</w:t>
      </w:r>
      <w:r w:rsidRPr="00A81AFE">
        <w:rPr>
          <w:lang w:val="en-IE"/>
        </w:rPr>
        <w:t>;</w:t>
      </w:r>
      <w:r w:rsidR="00476FB0" w:rsidRPr="00A81AFE">
        <w:rPr>
          <w:lang w:val="en-IE"/>
        </w:rPr>
        <w:t xml:space="preserve"> </w:t>
      </w:r>
      <w:r w:rsidRPr="00A81AFE">
        <w:rPr>
          <w:lang w:val="en-IE"/>
        </w:rPr>
        <w:t>(iii)</w:t>
      </w:r>
      <w:r w:rsidR="006462D9" w:rsidRPr="00A81AFE">
        <w:rPr>
          <w:lang w:val="en-IE"/>
        </w:rPr>
        <w:t> </w:t>
      </w:r>
      <w:r w:rsidR="00E1496C" w:rsidRPr="00A81AFE">
        <w:rPr>
          <w:lang w:val="en-IE"/>
        </w:rPr>
        <w:t xml:space="preserve">are </w:t>
      </w:r>
      <w:r w:rsidR="00476FB0" w:rsidRPr="00A81AFE">
        <w:rPr>
          <w:lang w:val="en-IE"/>
        </w:rPr>
        <w:t xml:space="preserve">comparable in price </w:t>
      </w:r>
      <w:r w:rsidR="00142AF8" w:rsidRPr="00A81AFE">
        <w:rPr>
          <w:lang w:val="en-IE"/>
        </w:rPr>
        <w:t>with</w:t>
      </w:r>
      <w:r w:rsidRPr="00A81AFE">
        <w:rPr>
          <w:lang w:val="en-IE"/>
        </w:rPr>
        <w:t xml:space="preserve"> lead-based ammunition;</w:t>
      </w:r>
      <w:r w:rsidR="00476FB0" w:rsidRPr="00A81AFE">
        <w:rPr>
          <w:lang w:val="en-IE"/>
        </w:rPr>
        <w:t xml:space="preserve"> and </w:t>
      </w:r>
      <w:r w:rsidRPr="00A81AFE">
        <w:rPr>
          <w:lang w:val="en-IE"/>
        </w:rPr>
        <w:t>(iv)</w:t>
      </w:r>
      <w:r w:rsidR="006462D9" w:rsidRPr="00A81AFE">
        <w:rPr>
          <w:lang w:val="en-IE"/>
        </w:rPr>
        <w:t> </w:t>
      </w:r>
      <w:r w:rsidR="00476FB0" w:rsidRPr="00A81AFE">
        <w:rPr>
          <w:lang w:val="en-IE"/>
        </w:rPr>
        <w:t>have better human</w:t>
      </w:r>
      <w:r w:rsidR="00A06F4F" w:rsidRPr="00A81AFE">
        <w:rPr>
          <w:lang w:val="en-IE"/>
        </w:rPr>
        <w:t xml:space="preserve"> </w:t>
      </w:r>
      <w:r w:rsidR="00476FB0" w:rsidRPr="00A81AFE">
        <w:rPr>
          <w:lang w:val="en-IE"/>
        </w:rPr>
        <w:t>health and environmental hazard and risk profiles than lead</w:t>
      </w:r>
      <w:r w:rsidR="00F72E96" w:rsidRPr="00A81AFE">
        <w:rPr>
          <w:lang w:val="en-IE"/>
        </w:rPr>
        <w:t>-</w:t>
      </w:r>
      <w:r w:rsidR="004C5540" w:rsidRPr="00A81AFE">
        <w:rPr>
          <w:lang w:val="en-IE"/>
        </w:rPr>
        <w:t>based</w:t>
      </w:r>
      <w:r w:rsidR="00476FB0" w:rsidRPr="00A81AFE">
        <w:rPr>
          <w:lang w:val="en-IE"/>
        </w:rPr>
        <w:t xml:space="preserve"> ammunition.</w:t>
      </w:r>
      <w:r w:rsidR="00C139C6" w:rsidRPr="00A81AFE">
        <w:rPr>
          <w:lang w:val="en-IE"/>
        </w:rPr>
        <w:t xml:space="preserve"> </w:t>
      </w:r>
      <w:r w:rsidR="00A91D17" w:rsidRPr="00A81AFE">
        <w:rPr>
          <w:lang w:val="en-IE"/>
        </w:rPr>
        <w:t>On</w:t>
      </w:r>
      <w:r w:rsidR="00C139C6" w:rsidRPr="00A81AFE">
        <w:rPr>
          <w:lang w:val="en-IE"/>
        </w:rPr>
        <w:t xml:space="preserve"> sports shooting</w:t>
      </w:r>
      <w:r w:rsidR="008316BD" w:rsidRPr="00A81AFE">
        <w:rPr>
          <w:lang w:val="en-IE"/>
        </w:rPr>
        <w:t xml:space="preserve"> with gunshot</w:t>
      </w:r>
      <w:r w:rsidR="00C139C6" w:rsidRPr="00A81AFE">
        <w:rPr>
          <w:lang w:val="en-IE"/>
        </w:rPr>
        <w:t xml:space="preserve">, the Agency found that </w:t>
      </w:r>
      <w:r w:rsidR="00380056" w:rsidRPr="00A81AFE">
        <w:rPr>
          <w:lang w:val="en-IE"/>
        </w:rPr>
        <w:t xml:space="preserve">it would be </w:t>
      </w:r>
      <w:r w:rsidR="007A1E4A" w:rsidRPr="00A81AFE">
        <w:rPr>
          <w:lang w:val="en-IE"/>
        </w:rPr>
        <w:t>feasible</w:t>
      </w:r>
      <w:r w:rsidR="00C139C6" w:rsidRPr="00A81AFE">
        <w:rPr>
          <w:lang w:val="en-IE"/>
        </w:rPr>
        <w:t xml:space="preserve"> to substitute </w:t>
      </w:r>
      <w:r w:rsidR="00142AF8" w:rsidRPr="00A81AFE">
        <w:rPr>
          <w:lang w:val="en-IE"/>
        </w:rPr>
        <w:t xml:space="preserve">steel for </w:t>
      </w:r>
      <w:r w:rsidR="00C139C6" w:rsidRPr="00A81AFE">
        <w:rPr>
          <w:lang w:val="en-IE"/>
        </w:rPr>
        <w:t xml:space="preserve">lead </w:t>
      </w:r>
      <w:r w:rsidR="008316BD" w:rsidRPr="00A81AFE">
        <w:rPr>
          <w:lang w:val="en-IE"/>
        </w:rPr>
        <w:t xml:space="preserve">while maintaining </w:t>
      </w:r>
      <w:r w:rsidR="002E04CC" w:rsidRPr="00A81AFE">
        <w:rPr>
          <w:lang w:val="en-IE"/>
        </w:rPr>
        <w:t xml:space="preserve">a </w:t>
      </w:r>
      <w:r w:rsidR="008316BD" w:rsidRPr="00A81AFE">
        <w:rPr>
          <w:lang w:val="en-IE"/>
        </w:rPr>
        <w:t xml:space="preserve">comparable performance, </w:t>
      </w:r>
      <w:r w:rsidR="00C139C6" w:rsidRPr="00A81AFE">
        <w:rPr>
          <w:lang w:val="en-IE"/>
        </w:rPr>
        <w:t xml:space="preserve">but </w:t>
      </w:r>
      <w:r w:rsidR="00142AF8" w:rsidRPr="00A81AFE">
        <w:rPr>
          <w:lang w:val="en-IE"/>
        </w:rPr>
        <w:t xml:space="preserve">that </w:t>
      </w:r>
      <w:r w:rsidR="00380056" w:rsidRPr="00A81AFE">
        <w:rPr>
          <w:lang w:val="en-IE"/>
        </w:rPr>
        <w:t xml:space="preserve">such </w:t>
      </w:r>
      <w:r w:rsidRPr="00A81AFE">
        <w:rPr>
          <w:lang w:val="en-IE"/>
        </w:rPr>
        <w:t>a</w:t>
      </w:r>
      <w:r w:rsidR="00380056" w:rsidRPr="00A81AFE">
        <w:rPr>
          <w:lang w:val="en-IE"/>
        </w:rPr>
        <w:t xml:space="preserve"> shift </w:t>
      </w:r>
      <w:r w:rsidR="00C139C6" w:rsidRPr="00A81AFE">
        <w:rPr>
          <w:lang w:val="en-IE"/>
        </w:rPr>
        <w:t xml:space="preserve">would require </w:t>
      </w:r>
      <w:r w:rsidR="00380056" w:rsidRPr="00A81AFE">
        <w:rPr>
          <w:lang w:val="en-IE"/>
        </w:rPr>
        <w:t xml:space="preserve">the </w:t>
      </w:r>
      <w:r w:rsidR="00C139C6" w:rsidRPr="00A81AFE">
        <w:rPr>
          <w:lang w:val="en-IE"/>
        </w:rPr>
        <w:t>approval of</w:t>
      </w:r>
      <w:r w:rsidR="00380056" w:rsidRPr="00A81AFE">
        <w:rPr>
          <w:lang w:val="en-IE"/>
        </w:rPr>
        <w:t xml:space="preserve"> the</w:t>
      </w:r>
      <w:r w:rsidR="00C139C6" w:rsidRPr="00A81AFE">
        <w:rPr>
          <w:lang w:val="en-IE"/>
        </w:rPr>
        <w:t xml:space="preserve"> relevant </w:t>
      </w:r>
      <w:r w:rsidR="00380056" w:rsidRPr="00A81AFE">
        <w:rPr>
          <w:lang w:val="en-IE"/>
        </w:rPr>
        <w:t xml:space="preserve">international </w:t>
      </w:r>
      <w:r w:rsidR="009C3A88" w:rsidRPr="00A81AFE">
        <w:rPr>
          <w:lang w:val="en-IE"/>
        </w:rPr>
        <w:t>sports</w:t>
      </w:r>
      <w:r w:rsidR="00764390" w:rsidRPr="00A81AFE">
        <w:rPr>
          <w:lang w:val="en-IE"/>
        </w:rPr>
        <w:t>-</w:t>
      </w:r>
      <w:r w:rsidR="009C3A88" w:rsidRPr="00A81AFE">
        <w:rPr>
          <w:lang w:val="en-IE"/>
        </w:rPr>
        <w:t xml:space="preserve">shooting </w:t>
      </w:r>
      <w:r w:rsidR="00C139C6" w:rsidRPr="00A81AFE">
        <w:rPr>
          <w:lang w:val="en-IE"/>
        </w:rPr>
        <w:t xml:space="preserve">federations. </w:t>
      </w:r>
      <w:r w:rsidR="008316BD" w:rsidRPr="00A81AFE">
        <w:rPr>
          <w:lang w:val="en-IE"/>
        </w:rPr>
        <w:t>By contrast, a</w:t>
      </w:r>
      <w:r w:rsidR="00C139C6" w:rsidRPr="00A81AFE">
        <w:rPr>
          <w:lang w:val="en-IE"/>
        </w:rPr>
        <w:t>lternatives for lead bullets and air</w:t>
      </w:r>
      <w:r w:rsidR="00275146" w:rsidRPr="00A81AFE">
        <w:rPr>
          <w:lang w:val="en-IE"/>
        </w:rPr>
        <w:t>gun</w:t>
      </w:r>
      <w:r w:rsidR="00C139C6" w:rsidRPr="00A81AFE">
        <w:rPr>
          <w:lang w:val="en-IE"/>
        </w:rPr>
        <w:t xml:space="preserve"> pellets in sports shooting </w:t>
      </w:r>
      <w:r w:rsidR="008316BD" w:rsidRPr="00A81AFE">
        <w:rPr>
          <w:lang w:val="en-IE"/>
        </w:rPr>
        <w:t>were</w:t>
      </w:r>
      <w:r w:rsidR="00380056" w:rsidRPr="00A81AFE">
        <w:rPr>
          <w:lang w:val="en-IE"/>
        </w:rPr>
        <w:t xml:space="preserve"> </w:t>
      </w:r>
      <w:r w:rsidR="00C139C6" w:rsidRPr="00A81AFE">
        <w:rPr>
          <w:lang w:val="en-IE"/>
        </w:rPr>
        <w:t xml:space="preserve">not </w:t>
      </w:r>
      <w:r w:rsidR="008316BD" w:rsidRPr="00A81AFE">
        <w:rPr>
          <w:lang w:val="en-IE"/>
        </w:rPr>
        <w:t xml:space="preserve">found to </w:t>
      </w:r>
      <w:r w:rsidRPr="00A81AFE">
        <w:rPr>
          <w:lang w:val="en-IE"/>
        </w:rPr>
        <w:t>perform as well as lead</w:t>
      </w:r>
      <w:r w:rsidR="00C139C6" w:rsidRPr="00A81AFE">
        <w:rPr>
          <w:lang w:val="en-IE"/>
        </w:rPr>
        <w:t>.</w:t>
      </w:r>
      <w:r w:rsidR="009221E7" w:rsidRPr="00A81AFE">
        <w:rPr>
          <w:lang w:val="en-IE"/>
        </w:rPr>
        <w:t xml:space="preserve"> </w:t>
      </w:r>
      <w:r w:rsidR="00F348D6" w:rsidRPr="00A81AFE">
        <w:rPr>
          <w:lang w:val="en-IE"/>
        </w:rPr>
        <w:t xml:space="preserve">The Agency noted that lead is currently difficult to replace in a number of applications, such as </w:t>
      </w:r>
      <w:r w:rsidR="00862244" w:rsidRPr="00A81AFE">
        <w:rPr>
          <w:lang w:val="en-IE"/>
        </w:rPr>
        <w:t>small</w:t>
      </w:r>
      <w:r w:rsidR="00384C36" w:rsidRPr="00A81AFE">
        <w:rPr>
          <w:lang w:val="en-IE"/>
        </w:rPr>
        <w:t>-</w:t>
      </w:r>
      <w:r w:rsidR="00862244" w:rsidRPr="00A81AFE">
        <w:rPr>
          <w:lang w:val="en-IE"/>
        </w:rPr>
        <w:t xml:space="preserve">calibre centrefire ammunition, </w:t>
      </w:r>
      <w:r w:rsidR="00F348D6" w:rsidRPr="00A81AFE">
        <w:rPr>
          <w:lang w:val="en-IE"/>
        </w:rPr>
        <w:t>rimfire ammunition, airgun ammunition, ammunition for muzzle</w:t>
      </w:r>
      <w:r w:rsidR="00384C36" w:rsidRPr="00A81AFE">
        <w:rPr>
          <w:lang w:val="en-IE"/>
        </w:rPr>
        <w:t>-</w:t>
      </w:r>
      <w:r w:rsidR="00F348D6" w:rsidRPr="00A81AFE">
        <w:rPr>
          <w:lang w:val="en-IE"/>
        </w:rPr>
        <w:t>loading rifles, full</w:t>
      </w:r>
      <w:r w:rsidR="001F6470" w:rsidRPr="00A81AFE">
        <w:rPr>
          <w:lang w:val="en-IE"/>
        </w:rPr>
        <w:t xml:space="preserve"> </w:t>
      </w:r>
      <w:r w:rsidR="00F348D6" w:rsidRPr="00A81AFE">
        <w:rPr>
          <w:lang w:val="en-IE"/>
        </w:rPr>
        <w:t>metal</w:t>
      </w:r>
      <w:r w:rsidR="001F6470" w:rsidRPr="00A81AFE">
        <w:rPr>
          <w:lang w:val="en-IE"/>
        </w:rPr>
        <w:t xml:space="preserve"> </w:t>
      </w:r>
      <w:r w:rsidR="00F348D6" w:rsidRPr="00A81AFE">
        <w:rPr>
          <w:lang w:val="en-IE"/>
        </w:rPr>
        <w:t>jacket bullets and open</w:t>
      </w:r>
      <w:r w:rsidR="001F6470" w:rsidRPr="00A81AFE">
        <w:rPr>
          <w:lang w:val="en-IE"/>
        </w:rPr>
        <w:t xml:space="preserve"> </w:t>
      </w:r>
      <w:r w:rsidR="00F348D6" w:rsidRPr="00A81AFE">
        <w:rPr>
          <w:lang w:val="en-IE"/>
        </w:rPr>
        <w:t xml:space="preserve">tip match bullets. </w:t>
      </w:r>
      <w:r w:rsidR="0057157B" w:rsidRPr="00A81AFE">
        <w:rPr>
          <w:lang w:val="en-IE"/>
        </w:rPr>
        <w:t xml:space="preserve">The Agency identified </w:t>
      </w:r>
      <w:r w:rsidR="00142AF8" w:rsidRPr="00A81AFE">
        <w:rPr>
          <w:lang w:val="en-IE"/>
        </w:rPr>
        <w:t>many</w:t>
      </w:r>
      <w:r w:rsidR="0057157B" w:rsidRPr="00A81AFE">
        <w:rPr>
          <w:lang w:val="en-IE"/>
        </w:rPr>
        <w:t xml:space="preserve"> alternatives to lead in fishing tackle</w:t>
      </w:r>
      <w:r w:rsidR="00142AF8" w:rsidRPr="00A81AFE">
        <w:rPr>
          <w:lang w:val="en-IE"/>
        </w:rPr>
        <w:t xml:space="preserve"> (such as</w:t>
      </w:r>
      <w:r w:rsidR="0057157B" w:rsidRPr="00A81AFE">
        <w:rPr>
          <w:lang w:val="en-IE"/>
        </w:rPr>
        <w:t xml:space="preserve"> brass, concrete, pebbles, steel, tin, zinc and tungsten</w:t>
      </w:r>
      <w:r w:rsidR="00142AF8" w:rsidRPr="00A81AFE">
        <w:rPr>
          <w:lang w:val="en-IE"/>
        </w:rPr>
        <w:t>)</w:t>
      </w:r>
      <w:r w:rsidR="0057157B" w:rsidRPr="00A81AFE">
        <w:rPr>
          <w:lang w:val="en-IE"/>
        </w:rPr>
        <w:t xml:space="preserve"> but acknowledged that some of the</w:t>
      </w:r>
      <w:r w:rsidR="00384C36" w:rsidRPr="00A81AFE">
        <w:rPr>
          <w:lang w:val="en-IE"/>
        </w:rPr>
        <w:t xml:space="preserve">se </w:t>
      </w:r>
      <w:r w:rsidR="00384C36" w:rsidRPr="00A81AFE">
        <w:t>alternatives</w:t>
      </w:r>
      <w:r w:rsidR="0057157B" w:rsidRPr="00A81AFE">
        <w:t xml:space="preserve">, </w:t>
      </w:r>
      <w:r w:rsidR="0057157B" w:rsidRPr="00A81AFE">
        <w:rPr>
          <w:lang w:val="en-IE"/>
        </w:rPr>
        <w:t>especially brass and zinc</w:t>
      </w:r>
      <w:r w:rsidR="0057157B" w:rsidRPr="00A81AFE">
        <w:t>,</w:t>
      </w:r>
      <w:r w:rsidR="0057157B" w:rsidRPr="00A81AFE">
        <w:rPr>
          <w:lang w:val="en-IE"/>
        </w:rPr>
        <w:t xml:space="preserve"> </w:t>
      </w:r>
      <w:r w:rsidR="001F6470" w:rsidRPr="00A81AFE">
        <w:rPr>
          <w:lang w:val="en-IE"/>
        </w:rPr>
        <w:t>also</w:t>
      </w:r>
      <w:r w:rsidR="0057157B" w:rsidRPr="00A81AFE">
        <w:rPr>
          <w:lang w:val="en-IE"/>
        </w:rPr>
        <w:t xml:space="preserve"> harm the environment.</w:t>
      </w:r>
      <w:r w:rsidR="00315261" w:rsidRPr="00A81AFE">
        <w:rPr>
          <w:lang w:val="en-IE"/>
        </w:rPr>
        <w:t xml:space="preserve"> </w:t>
      </w:r>
      <w:r w:rsidR="00F348D6" w:rsidRPr="00A81AFE">
        <w:rPr>
          <w:lang w:val="en-IE"/>
        </w:rPr>
        <w:t>The Agency noted that alternatives to lead fishing wires are widely available</w:t>
      </w:r>
      <w:r w:rsidR="00D86993" w:rsidRPr="00A81AFE">
        <w:rPr>
          <w:lang w:val="en-IE"/>
        </w:rPr>
        <w:t xml:space="preserve"> in retail shops</w:t>
      </w:r>
      <w:r w:rsidR="00142AF8" w:rsidRPr="00A81AFE">
        <w:rPr>
          <w:rFonts w:eastAsia="Times New Roman"/>
          <w:szCs w:val="24"/>
          <w:lang w:val="en-IE"/>
        </w:rPr>
        <w:t xml:space="preserve"> and that </w:t>
      </w:r>
      <w:r w:rsidR="00D86993" w:rsidRPr="00A81AFE">
        <w:t xml:space="preserve">drop-in sinkers </w:t>
      </w:r>
      <w:r w:rsidR="00D86993" w:rsidRPr="00A81AFE">
        <w:rPr>
          <w:lang w:val="en-IE"/>
        </w:rPr>
        <w:t xml:space="preserve">can be </w:t>
      </w:r>
      <w:r w:rsidR="00142AF8" w:rsidRPr="00A81AFE">
        <w:rPr>
          <w:rFonts w:eastAsia="Times New Roman"/>
          <w:szCs w:val="24"/>
          <w:lang w:val="en-IE"/>
        </w:rPr>
        <w:t xml:space="preserve">replaced </w:t>
      </w:r>
      <w:r w:rsidR="00D86993" w:rsidRPr="00A81AFE">
        <w:rPr>
          <w:lang w:val="en-IE"/>
        </w:rPr>
        <w:t>with</w:t>
      </w:r>
      <w:r w:rsidR="00384C36" w:rsidRPr="00A81AFE">
        <w:rPr>
          <w:lang w:val="en-IE"/>
        </w:rPr>
        <w:t>:</w:t>
      </w:r>
      <w:r w:rsidR="00E4340E" w:rsidRPr="00A81AFE">
        <w:rPr>
          <w:lang w:val="en-IE"/>
        </w:rPr>
        <w:t xml:space="preserve"> </w:t>
      </w:r>
      <w:r w:rsidR="00384C36" w:rsidRPr="00A81AFE">
        <w:rPr>
          <w:lang w:val="en-IE"/>
        </w:rPr>
        <w:t>(i)</w:t>
      </w:r>
      <w:r w:rsidR="006462D9" w:rsidRPr="00A81AFE">
        <w:rPr>
          <w:rFonts w:eastAsia="Times New Roman"/>
          <w:szCs w:val="24"/>
          <w:lang w:val="en-IE"/>
        </w:rPr>
        <w:t> </w:t>
      </w:r>
      <w:r w:rsidR="00862244" w:rsidRPr="00A81AFE">
        <w:rPr>
          <w:lang w:val="en-IE"/>
        </w:rPr>
        <w:t xml:space="preserve">different </w:t>
      </w:r>
      <w:r w:rsidR="00D86993" w:rsidRPr="00A81AFE">
        <w:rPr>
          <w:lang w:val="en-IE"/>
        </w:rPr>
        <w:t>techniques</w:t>
      </w:r>
      <w:r w:rsidR="00384C36" w:rsidRPr="00A81AFE">
        <w:rPr>
          <w:lang w:val="en-IE"/>
        </w:rPr>
        <w:t>;</w:t>
      </w:r>
      <w:r w:rsidR="00D86993" w:rsidRPr="00A81AFE">
        <w:rPr>
          <w:lang w:val="en-IE"/>
        </w:rPr>
        <w:t xml:space="preserve"> and </w:t>
      </w:r>
      <w:r w:rsidR="00384C36" w:rsidRPr="00A81AFE">
        <w:rPr>
          <w:lang w:val="en-IE"/>
        </w:rPr>
        <w:t>(ii)</w:t>
      </w:r>
      <w:r w:rsidR="006462D9" w:rsidRPr="00A81AFE">
        <w:rPr>
          <w:rFonts w:eastAsia="Times New Roman"/>
          <w:szCs w:val="24"/>
          <w:lang w:val="en-IE"/>
        </w:rPr>
        <w:t> </w:t>
      </w:r>
      <w:r w:rsidR="00D86993" w:rsidRPr="00A81AFE">
        <w:rPr>
          <w:lang w:val="en-IE"/>
        </w:rPr>
        <w:t>alternative sinkers that are not intended to be dropped off during use and therefore do not cause a</w:t>
      </w:r>
      <w:r w:rsidR="005A3D82" w:rsidRPr="00A81AFE">
        <w:rPr>
          <w:lang w:val="en-IE"/>
        </w:rPr>
        <w:t xml:space="preserve"> direct a</w:t>
      </w:r>
      <w:r w:rsidR="00D86993" w:rsidRPr="00A81AFE">
        <w:rPr>
          <w:lang w:val="en-IE"/>
        </w:rPr>
        <w:t>n</w:t>
      </w:r>
      <w:r w:rsidR="005A3D82" w:rsidRPr="00A81AFE">
        <w:rPr>
          <w:lang w:val="en-IE"/>
        </w:rPr>
        <w:t>d</w:t>
      </w:r>
      <w:r w:rsidR="00D86993" w:rsidRPr="00A81AFE">
        <w:rPr>
          <w:lang w:val="en-IE"/>
        </w:rPr>
        <w:t xml:space="preserve"> intentional release of lead to the environment</w:t>
      </w:r>
      <w:r w:rsidR="00F348D6" w:rsidRPr="00A81AFE">
        <w:rPr>
          <w:lang w:val="en-IE"/>
        </w:rPr>
        <w:t>.</w:t>
      </w:r>
    </w:p>
    <w:p w14:paraId="79F0CADD" w14:textId="77777777" w:rsidR="00F348D6" w:rsidRPr="00A81AFE" w:rsidRDefault="00F348D6" w:rsidP="00F348D6">
      <w:pPr>
        <w:pStyle w:val="Considrant"/>
        <w:rPr>
          <w:lang w:val="en-IE"/>
        </w:rPr>
      </w:pPr>
      <w:r w:rsidRPr="00A81AFE">
        <w:rPr>
          <w:lang w:val="en-IE"/>
        </w:rPr>
        <w:t xml:space="preserve">The Agency recommended that the restrictions on fishing wires and </w:t>
      </w:r>
      <w:r w:rsidRPr="00A81AFE">
        <w:t>drop-in</w:t>
      </w:r>
      <w:r w:rsidRPr="00A81AFE">
        <w:rPr>
          <w:lang w:val="en-IE"/>
        </w:rPr>
        <w:t xml:space="preserve"> sinkers should </w:t>
      </w:r>
      <w:r w:rsidR="002E04CC" w:rsidRPr="00A81AFE">
        <w:rPr>
          <w:lang w:val="en-IE"/>
        </w:rPr>
        <w:t>enter into application</w:t>
      </w:r>
      <w:r w:rsidRPr="00A81AFE">
        <w:rPr>
          <w:lang w:val="en-IE"/>
        </w:rPr>
        <w:t xml:space="preserve"> as soon as possible</w:t>
      </w:r>
      <w:r w:rsidR="00DD6301" w:rsidRPr="00A81AFE">
        <w:rPr>
          <w:lang w:val="en-IE"/>
        </w:rPr>
        <w:t xml:space="preserve">, given the availability of alternatives and the need to prevent </w:t>
      </w:r>
      <w:r w:rsidR="00384C36" w:rsidRPr="00A81AFE">
        <w:rPr>
          <w:lang w:val="en-IE"/>
        </w:rPr>
        <w:t xml:space="preserve">the </w:t>
      </w:r>
      <w:r w:rsidR="00DD6301" w:rsidRPr="00A81AFE">
        <w:rPr>
          <w:lang w:val="en-IE"/>
        </w:rPr>
        <w:t>direct and intentional release of lead into the environment</w:t>
      </w:r>
      <w:r w:rsidRPr="00A81AFE">
        <w:rPr>
          <w:lang w:val="en-IE"/>
        </w:rPr>
        <w:t xml:space="preserve">. By contrast, </w:t>
      </w:r>
      <w:r w:rsidR="00384C36" w:rsidRPr="00A81AFE">
        <w:rPr>
          <w:lang w:val="en-IE"/>
        </w:rPr>
        <w:t xml:space="preserve">it </w:t>
      </w:r>
      <w:r w:rsidRPr="00A81AFE">
        <w:rPr>
          <w:lang w:val="en-IE"/>
        </w:rPr>
        <w:t xml:space="preserve">recommended a range of periods </w:t>
      </w:r>
      <w:r w:rsidR="001B5484" w:rsidRPr="00A81AFE">
        <w:rPr>
          <w:lang w:val="en-IE"/>
        </w:rPr>
        <w:t xml:space="preserve">in order to </w:t>
      </w:r>
      <w:r w:rsidRPr="00A81AFE">
        <w:rPr>
          <w:lang w:val="en-IE"/>
        </w:rPr>
        <w:t xml:space="preserve">defer the </w:t>
      </w:r>
      <w:r w:rsidR="00960CAE" w:rsidRPr="00A81AFE">
        <w:rPr>
          <w:lang w:val="en-IE"/>
        </w:rPr>
        <w:t xml:space="preserve">entry into </w:t>
      </w:r>
      <w:r w:rsidRPr="00A81AFE">
        <w:rPr>
          <w:lang w:val="en-IE"/>
        </w:rPr>
        <w:t>application of</w:t>
      </w:r>
      <w:r w:rsidR="00253A2D" w:rsidRPr="00A81AFE">
        <w:t>:</w:t>
      </w:r>
      <w:r w:rsidRPr="00A81AFE">
        <w:t xml:space="preserve"> </w:t>
      </w:r>
      <w:r w:rsidR="00253A2D" w:rsidRPr="00A81AFE">
        <w:t>(</w:t>
      </w:r>
      <w:r w:rsidR="00B42B13" w:rsidRPr="00A81AFE">
        <w:t xml:space="preserve">i) </w:t>
      </w:r>
      <w:r w:rsidRPr="00A81AFE">
        <w:rPr>
          <w:lang w:val="en-IE"/>
        </w:rPr>
        <w:t xml:space="preserve">the restrictions </w:t>
      </w:r>
      <w:r w:rsidR="00960CAE" w:rsidRPr="00A81AFE">
        <w:rPr>
          <w:lang w:val="en-IE"/>
        </w:rPr>
        <w:t>on</w:t>
      </w:r>
      <w:r w:rsidR="006462D9" w:rsidRPr="00A81AFE">
        <w:rPr>
          <w:lang w:val="en-IE"/>
        </w:rPr>
        <w:t> </w:t>
      </w:r>
      <w:r w:rsidRPr="00A81AFE">
        <w:rPr>
          <w:lang w:val="en-IE"/>
        </w:rPr>
        <w:t>the other articles within the scope of the Annex</w:t>
      </w:r>
      <w:r w:rsidR="004A769C" w:rsidRPr="00A81AFE">
        <w:rPr>
          <w:lang w:val="en-IE"/>
        </w:rPr>
        <w:t> </w:t>
      </w:r>
      <w:r w:rsidRPr="00A81AFE">
        <w:rPr>
          <w:lang w:val="en-IE"/>
        </w:rPr>
        <w:t>XV dossier</w:t>
      </w:r>
      <w:r w:rsidR="003F1719" w:rsidRPr="00A81AFE">
        <w:rPr>
          <w:lang w:val="en-IE"/>
        </w:rPr>
        <w:t>; and (ii)</w:t>
      </w:r>
      <w:r w:rsidR="006462D9" w:rsidRPr="00A81AFE">
        <w:rPr>
          <w:lang w:val="en-IE"/>
        </w:rPr>
        <w:t> </w:t>
      </w:r>
      <w:r w:rsidRPr="00A81AFE">
        <w:rPr>
          <w:lang w:val="en-IE"/>
        </w:rPr>
        <w:t>the information and labelling obligations</w:t>
      </w:r>
      <w:r w:rsidR="003F1719" w:rsidRPr="00A81AFE">
        <w:rPr>
          <w:lang w:val="en-IE"/>
        </w:rPr>
        <w:t xml:space="preserve">. This </w:t>
      </w:r>
      <w:r w:rsidR="001B5484" w:rsidRPr="00A81AFE">
        <w:rPr>
          <w:lang w:val="en-IE"/>
        </w:rPr>
        <w:t>would</w:t>
      </w:r>
      <w:r w:rsidRPr="00A81AFE">
        <w:rPr>
          <w:lang w:val="en-IE"/>
        </w:rPr>
        <w:t xml:space="preserve"> allow operators to adapt to the new rules and put in place the necessary risk</w:t>
      </w:r>
      <w:r w:rsidR="000072A2" w:rsidRPr="00A81AFE">
        <w:rPr>
          <w:lang w:val="en-IE"/>
        </w:rPr>
        <w:t xml:space="preserve"> </w:t>
      </w:r>
      <w:r w:rsidRPr="00A81AFE">
        <w:rPr>
          <w:lang w:val="en-IE"/>
        </w:rPr>
        <w:t xml:space="preserve">management measures. </w:t>
      </w:r>
      <w:r w:rsidR="00C73815" w:rsidRPr="00A81AFE">
        <w:rPr>
          <w:lang w:val="en-IE"/>
        </w:rPr>
        <w:t xml:space="preserve">Among the recommended transitional </w:t>
      </w:r>
      <w:r w:rsidR="00BE5B7E" w:rsidRPr="00A81AFE">
        <w:t xml:space="preserve">and </w:t>
      </w:r>
      <w:r w:rsidR="00DE7D57" w:rsidRPr="00A81AFE">
        <w:t>deferred application</w:t>
      </w:r>
      <w:r w:rsidR="00BD2DB7" w:rsidRPr="00A81AFE">
        <w:t xml:space="preserve"> periods</w:t>
      </w:r>
      <w:r w:rsidR="00C73815" w:rsidRPr="00A81AFE">
        <w:rPr>
          <w:lang w:val="en-IE"/>
        </w:rPr>
        <w:t xml:space="preserve">, </w:t>
      </w:r>
      <w:r w:rsidR="00B311AD" w:rsidRPr="00A81AFE">
        <w:rPr>
          <w:lang w:val="en-IE"/>
        </w:rPr>
        <w:t>t</w:t>
      </w:r>
      <w:r w:rsidR="00930502" w:rsidRPr="00A81AFE">
        <w:rPr>
          <w:lang w:val="en-IE"/>
        </w:rPr>
        <w:t>he Agency</w:t>
      </w:r>
      <w:r w:rsidRPr="00A81AFE">
        <w:rPr>
          <w:lang w:val="en-IE"/>
        </w:rPr>
        <w:t xml:space="preserve"> </w:t>
      </w:r>
      <w:r w:rsidR="00C73815" w:rsidRPr="00A81AFE">
        <w:rPr>
          <w:lang w:val="en-IE"/>
        </w:rPr>
        <w:t>included</w:t>
      </w:r>
      <w:r w:rsidRPr="00A81AFE">
        <w:rPr>
          <w:lang w:val="en-IE"/>
        </w:rPr>
        <w:t xml:space="preserve"> </w:t>
      </w:r>
      <w:r w:rsidR="003C13A5" w:rsidRPr="00A81AFE">
        <w:rPr>
          <w:lang w:val="en-IE"/>
        </w:rPr>
        <w:t>(i)</w:t>
      </w:r>
      <w:r w:rsidR="006462D9" w:rsidRPr="00A81AFE">
        <w:rPr>
          <w:lang w:val="en-IE"/>
        </w:rPr>
        <w:t> </w:t>
      </w:r>
      <w:r w:rsidRPr="00A81AFE">
        <w:rPr>
          <w:lang w:val="en-IE"/>
        </w:rPr>
        <w:t xml:space="preserve">a </w:t>
      </w:r>
      <w:r w:rsidR="0034658A" w:rsidRPr="00A81AFE">
        <w:t>five</w:t>
      </w:r>
      <w:r w:rsidR="00C73815" w:rsidRPr="00A81AFE">
        <w:rPr>
          <w:lang w:val="en-IE"/>
        </w:rPr>
        <w:t xml:space="preserve">-year </w:t>
      </w:r>
      <w:r w:rsidRPr="00A81AFE">
        <w:rPr>
          <w:lang w:val="en-IE"/>
        </w:rPr>
        <w:t xml:space="preserve">transitional </w:t>
      </w:r>
      <w:r w:rsidRPr="00A81AFE">
        <w:t>period</w:t>
      </w:r>
      <w:r w:rsidRPr="00A81AFE">
        <w:rPr>
          <w:lang w:val="en-IE"/>
        </w:rPr>
        <w:t xml:space="preserve"> for the ban on placing on the market and use</w:t>
      </w:r>
      <w:r w:rsidR="00C73815" w:rsidRPr="00A81AFE">
        <w:rPr>
          <w:lang w:val="en-IE"/>
        </w:rPr>
        <w:t xml:space="preserve"> of gunshot for hunting</w:t>
      </w:r>
      <w:r w:rsidR="001B5484" w:rsidRPr="00A81AFE">
        <w:rPr>
          <w:lang w:val="en-IE"/>
        </w:rPr>
        <w:t>;</w:t>
      </w:r>
      <w:r w:rsidR="00C73815" w:rsidRPr="00A81AFE">
        <w:rPr>
          <w:lang w:val="en-IE"/>
        </w:rPr>
        <w:t xml:space="preserve"> and </w:t>
      </w:r>
      <w:r w:rsidR="003C13A5" w:rsidRPr="00A81AFE">
        <w:rPr>
          <w:lang w:val="en-IE"/>
        </w:rPr>
        <w:t>(ii)</w:t>
      </w:r>
      <w:r w:rsidR="006462D9" w:rsidRPr="00A81AFE">
        <w:rPr>
          <w:lang w:val="en-IE"/>
        </w:rPr>
        <w:t> </w:t>
      </w:r>
      <w:r w:rsidR="006E78A7" w:rsidRPr="00A81AFE">
        <w:t>deferred applications</w:t>
      </w:r>
      <w:r w:rsidR="00275146" w:rsidRPr="00A81AFE">
        <w:rPr>
          <w:lang w:val="en-IE"/>
        </w:rPr>
        <w:t xml:space="preserve"> periods </w:t>
      </w:r>
      <w:r w:rsidR="00C73815" w:rsidRPr="00A81AFE">
        <w:rPr>
          <w:lang w:val="en-IE"/>
        </w:rPr>
        <w:t xml:space="preserve">for the ban on the use </w:t>
      </w:r>
      <w:r w:rsidR="00275146" w:rsidRPr="00A81AFE">
        <w:rPr>
          <w:lang w:val="en-IE"/>
        </w:rPr>
        <w:t xml:space="preserve">for hunting </w:t>
      </w:r>
      <w:r w:rsidR="00C73815" w:rsidRPr="00A81AFE">
        <w:rPr>
          <w:lang w:val="en-IE"/>
        </w:rPr>
        <w:t xml:space="preserve">of </w:t>
      </w:r>
      <w:r w:rsidR="00275146" w:rsidRPr="00A81AFE">
        <w:rPr>
          <w:lang w:val="en-IE"/>
        </w:rPr>
        <w:t>large</w:t>
      </w:r>
      <w:r w:rsidR="00960CAE" w:rsidRPr="00A81AFE">
        <w:rPr>
          <w:lang w:val="en-IE"/>
        </w:rPr>
        <w:t>-</w:t>
      </w:r>
      <w:r w:rsidR="00275146" w:rsidRPr="00A81AFE">
        <w:rPr>
          <w:lang w:val="en-IE"/>
        </w:rPr>
        <w:t>calibre and small</w:t>
      </w:r>
      <w:r w:rsidR="00F76DDB" w:rsidRPr="00A81AFE">
        <w:rPr>
          <w:lang w:val="en-IE"/>
        </w:rPr>
        <w:t>-</w:t>
      </w:r>
      <w:r w:rsidR="00275146" w:rsidRPr="00A81AFE">
        <w:rPr>
          <w:lang w:val="en-IE"/>
        </w:rPr>
        <w:t xml:space="preserve">calibre </w:t>
      </w:r>
      <w:r w:rsidR="00C73815" w:rsidRPr="00A81AFE">
        <w:rPr>
          <w:lang w:val="en-IE"/>
        </w:rPr>
        <w:t>projectiles other than gunshot</w:t>
      </w:r>
      <w:r w:rsidR="004B2D6C" w:rsidRPr="00A81AFE">
        <w:rPr>
          <w:lang w:val="en-IE"/>
        </w:rPr>
        <w:t xml:space="preserve"> of 18</w:t>
      </w:r>
      <w:r w:rsidR="006462D9" w:rsidRPr="00A81AFE">
        <w:rPr>
          <w:lang w:val="en-IE"/>
        </w:rPr>
        <w:t> </w:t>
      </w:r>
      <w:r w:rsidR="004B2D6C" w:rsidRPr="00A81AFE">
        <w:rPr>
          <w:lang w:val="en-IE"/>
        </w:rPr>
        <w:t xml:space="preserve">months and </w:t>
      </w:r>
      <w:r w:rsidR="0034658A" w:rsidRPr="00A81AFE">
        <w:t>five</w:t>
      </w:r>
      <w:r w:rsidR="006462D9" w:rsidRPr="00A81AFE">
        <w:rPr>
          <w:lang w:val="en-IE"/>
        </w:rPr>
        <w:t xml:space="preserve"> </w:t>
      </w:r>
      <w:r w:rsidR="004B2D6C" w:rsidRPr="00A81AFE">
        <w:rPr>
          <w:lang w:val="en-IE"/>
        </w:rPr>
        <w:t>year</w:t>
      </w:r>
      <w:r w:rsidR="00DD09D1" w:rsidRPr="00A81AFE">
        <w:t>s</w:t>
      </w:r>
      <w:r w:rsidR="004B2D6C" w:rsidRPr="00A81AFE">
        <w:rPr>
          <w:lang w:val="en-IE"/>
        </w:rPr>
        <w:t xml:space="preserve"> respectively</w:t>
      </w:r>
      <w:r w:rsidR="003C13A5" w:rsidRPr="00A81AFE">
        <w:rPr>
          <w:lang w:val="en-IE"/>
        </w:rPr>
        <w:t>.</w:t>
      </w:r>
    </w:p>
    <w:p w14:paraId="25A36777" w14:textId="77777777" w:rsidR="001E7008" w:rsidRPr="00A81AFE" w:rsidRDefault="006B2CD0" w:rsidP="003153DD">
      <w:pPr>
        <w:pStyle w:val="Considrant"/>
        <w:rPr>
          <w:lang w:val="en-IE"/>
        </w:rPr>
      </w:pPr>
      <w:r w:rsidRPr="00A81AFE">
        <w:rPr>
          <w:lang w:val="en-IE"/>
        </w:rPr>
        <w:t>T</w:t>
      </w:r>
      <w:r w:rsidR="00802FFB" w:rsidRPr="00A81AFE">
        <w:rPr>
          <w:lang w:val="en-IE"/>
        </w:rPr>
        <w:t xml:space="preserve">he Agency suggested </w:t>
      </w:r>
      <w:r w:rsidR="00234618" w:rsidRPr="00A81AFE">
        <w:rPr>
          <w:lang w:val="en-IE"/>
        </w:rPr>
        <w:t xml:space="preserve">a derogation </w:t>
      </w:r>
      <w:r w:rsidRPr="00A81AFE">
        <w:rPr>
          <w:lang w:val="en-IE"/>
        </w:rPr>
        <w:t xml:space="preserve">from the ban on </w:t>
      </w:r>
      <w:r w:rsidR="00234618" w:rsidRPr="00A81AFE">
        <w:rPr>
          <w:lang w:val="en-IE"/>
        </w:rPr>
        <w:t xml:space="preserve">the use of lead bullets for sports shooting, on condition that </w:t>
      </w:r>
      <w:r w:rsidR="00CA793E" w:rsidRPr="00A81AFE">
        <w:rPr>
          <w:lang w:val="en-IE"/>
        </w:rPr>
        <w:t xml:space="preserve">specific </w:t>
      </w:r>
      <w:r w:rsidR="00234618" w:rsidRPr="00A81AFE">
        <w:rPr>
          <w:lang w:val="en-IE"/>
        </w:rPr>
        <w:t>risk</w:t>
      </w:r>
      <w:r w:rsidR="006C1FE8" w:rsidRPr="00A81AFE">
        <w:t xml:space="preserve"> </w:t>
      </w:r>
      <w:r w:rsidR="00234618" w:rsidRPr="00A81AFE">
        <w:rPr>
          <w:lang w:val="en-IE"/>
        </w:rPr>
        <w:t>management measures are implemented at sports</w:t>
      </w:r>
      <w:r w:rsidR="00A91F21" w:rsidRPr="00A81AFE">
        <w:rPr>
          <w:lang w:val="en-IE"/>
        </w:rPr>
        <w:t xml:space="preserve"> </w:t>
      </w:r>
      <w:r w:rsidR="00234618" w:rsidRPr="00A81AFE">
        <w:rPr>
          <w:lang w:val="en-IE"/>
        </w:rPr>
        <w:t xml:space="preserve">shooting ranges and no agricultural activity takes place there. </w:t>
      </w:r>
      <w:r w:rsidR="00E210D6" w:rsidRPr="00A81AFE">
        <w:rPr>
          <w:lang w:val="en-IE"/>
        </w:rPr>
        <w:t xml:space="preserve">The Agency also did not support optional derogations </w:t>
      </w:r>
      <w:r w:rsidR="00CA793E" w:rsidRPr="00A81AFE">
        <w:rPr>
          <w:lang w:val="en-IE"/>
        </w:rPr>
        <w:t>from the ban on</w:t>
      </w:r>
      <w:r w:rsidR="00E210D6" w:rsidRPr="00A81AFE">
        <w:rPr>
          <w:lang w:val="en-IE"/>
        </w:rPr>
        <w:t xml:space="preserve"> the placing on the market </w:t>
      </w:r>
      <w:r w:rsidR="001E7008" w:rsidRPr="00A81AFE">
        <w:rPr>
          <w:lang w:val="en-IE"/>
        </w:rPr>
        <w:t xml:space="preserve">and </w:t>
      </w:r>
      <w:r w:rsidR="001B5484" w:rsidRPr="00A81AFE">
        <w:rPr>
          <w:lang w:val="en-IE"/>
        </w:rPr>
        <w:t xml:space="preserve">the </w:t>
      </w:r>
      <w:r w:rsidR="001E7008" w:rsidRPr="00A81AFE">
        <w:rPr>
          <w:lang w:val="en-IE"/>
        </w:rPr>
        <w:t xml:space="preserve">use </w:t>
      </w:r>
      <w:r w:rsidR="00E210D6" w:rsidRPr="00A81AFE">
        <w:rPr>
          <w:lang w:val="en-IE"/>
        </w:rPr>
        <w:t>of lead gunshot</w:t>
      </w:r>
      <w:r w:rsidR="001E7008" w:rsidRPr="00A81AFE">
        <w:rPr>
          <w:lang w:val="en-IE"/>
        </w:rPr>
        <w:t xml:space="preserve"> in sport</w:t>
      </w:r>
      <w:r w:rsidR="009C3A88" w:rsidRPr="00A81AFE">
        <w:rPr>
          <w:lang w:val="en-IE"/>
        </w:rPr>
        <w:t>s</w:t>
      </w:r>
      <w:r w:rsidR="001E7008" w:rsidRPr="00A81AFE">
        <w:rPr>
          <w:lang w:val="en-IE"/>
        </w:rPr>
        <w:t xml:space="preserve"> shooting. The </w:t>
      </w:r>
      <w:r w:rsidR="00CA793E" w:rsidRPr="00A81AFE">
        <w:rPr>
          <w:lang w:val="en-IE"/>
        </w:rPr>
        <w:t>A</w:t>
      </w:r>
      <w:r w:rsidR="001E7008" w:rsidRPr="00A81AFE">
        <w:rPr>
          <w:lang w:val="en-IE"/>
        </w:rPr>
        <w:t>gency supported a ban</w:t>
      </w:r>
      <w:r w:rsidR="003F1719" w:rsidRPr="00A81AFE">
        <w:rPr>
          <w:lang w:val="en-IE"/>
        </w:rPr>
        <w:t xml:space="preserve"> </w:t>
      </w:r>
      <w:r w:rsidR="001B5484" w:rsidRPr="00A81AFE">
        <w:rPr>
          <w:lang w:val="en-IE"/>
        </w:rPr>
        <w:t xml:space="preserve">on </w:t>
      </w:r>
      <w:r w:rsidR="003F1719" w:rsidRPr="00A81AFE">
        <w:t>th</w:t>
      </w:r>
      <w:r w:rsidR="00C90BBA" w:rsidRPr="00A81AFE">
        <w:t>at</w:t>
      </w:r>
      <w:r w:rsidR="003F1719" w:rsidRPr="00A81AFE">
        <w:rPr>
          <w:lang w:val="en-IE"/>
        </w:rPr>
        <w:t xml:space="preserve"> use of lead gunshot</w:t>
      </w:r>
      <w:r w:rsidR="00CA793E" w:rsidRPr="00A81AFE">
        <w:rPr>
          <w:lang w:val="en-IE"/>
        </w:rPr>
        <w:t>,</w:t>
      </w:r>
      <w:r w:rsidR="001E7008" w:rsidRPr="00A81AFE">
        <w:rPr>
          <w:lang w:val="en-IE"/>
        </w:rPr>
        <w:t xml:space="preserve"> but </w:t>
      </w:r>
      <w:r w:rsidR="001B5484" w:rsidRPr="00A81AFE">
        <w:rPr>
          <w:lang w:val="en-IE"/>
        </w:rPr>
        <w:t xml:space="preserve">also </w:t>
      </w:r>
      <w:r w:rsidR="001E7008" w:rsidRPr="00A81AFE">
        <w:rPr>
          <w:lang w:val="en-IE"/>
        </w:rPr>
        <w:t xml:space="preserve">included the derogations </w:t>
      </w:r>
      <w:r w:rsidR="008C5FD8" w:rsidRPr="00A81AFE">
        <w:rPr>
          <w:lang w:val="en-IE"/>
        </w:rPr>
        <w:t xml:space="preserve">as optional </w:t>
      </w:r>
      <w:r w:rsidR="00F30016" w:rsidRPr="00A81AFE">
        <w:rPr>
          <w:lang w:val="en-IE"/>
        </w:rPr>
        <w:t>and a</w:t>
      </w:r>
      <w:r w:rsidR="003D025E" w:rsidRPr="00A81AFE">
        <w:rPr>
          <w:lang w:val="en-IE"/>
        </w:rPr>
        <w:t>ssesse</w:t>
      </w:r>
      <w:r w:rsidR="00F30016" w:rsidRPr="00A81AFE">
        <w:rPr>
          <w:lang w:val="en-IE"/>
        </w:rPr>
        <w:t xml:space="preserve">d their </w:t>
      </w:r>
      <w:r w:rsidR="000133B9" w:rsidRPr="00A81AFE">
        <w:rPr>
          <w:lang w:val="en-IE"/>
        </w:rPr>
        <w:t xml:space="preserve">costs and benefits </w:t>
      </w:r>
      <w:r w:rsidR="001E7008" w:rsidRPr="00A81AFE">
        <w:rPr>
          <w:lang w:val="en-IE"/>
        </w:rPr>
        <w:t xml:space="preserve">in the event that </w:t>
      </w:r>
      <w:r w:rsidR="00F30016" w:rsidRPr="00A81AFE">
        <w:rPr>
          <w:lang w:val="en-IE"/>
        </w:rPr>
        <w:t>the Commission</w:t>
      </w:r>
      <w:r w:rsidR="001E7008" w:rsidRPr="00A81AFE">
        <w:rPr>
          <w:lang w:val="en-IE"/>
        </w:rPr>
        <w:t xml:space="preserve"> </w:t>
      </w:r>
      <w:r w:rsidR="001B5484" w:rsidRPr="00A81AFE">
        <w:rPr>
          <w:lang w:val="en-IE"/>
        </w:rPr>
        <w:t xml:space="preserve">did </w:t>
      </w:r>
      <w:r w:rsidR="001E7008" w:rsidRPr="00A81AFE">
        <w:rPr>
          <w:lang w:val="en-IE"/>
        </w:rPr>
        <w:t xml:space="preserve">not </w:t>
      </w:r>
      <w:r w:rsidR="00CA793E" w:rsidRPr="00A81AFE">
        <w:rPr>
          <w:lang w:val="en-IE"/>
        </w:rPr>
        <w:t>consider</w:t>
      </w:r>
      <w:r w:rsidR="001E7008" w:rsidRPr="00A81AFE">
        <w:rPr>
          <w:lang w:val="en-IE"/>
        </w:rPr>
        <w:t xml:space="preserve"> </w:t>
      </w:r>
      <w:r w:rsidR="00CA793E" w:rsidRPr="00A81AFE">
        <w:rPr>
          <w:lang w:val="en-IE"/>
        </w:rPr>
        <w:t xml:space="preserve">such a </w:t>
      </w:r>
      <w:r w:rsidR="001E7008" w:rsidRPr="00A81AFE">
        <w:rPr>
          <w:lang w:val="en-IE"/>
        </w:rPr>
        <w:t xml:space="preserve">ban </w:t>
      </w:r>
      <w:r w:rsidR="00CA793E" w:rsidRPr="00A81AFE">
        <w:rPr>
          <w:lang w:val="en-IE"/>
        </w:rPr>
        <w:t>appropriate and require</w:t>
      </w:r>
      <w:r w:rsidR="001B5484" w:rsidRPr="00A81AFE">
        <w:rPr>
          <w:lang w:val="en-IE"/>
        </w:rPr>
        <w:t>d</w:t>
      </w:r>
      <w:r w:rsidR="00CA793E" w:rsidRPr="00A81AFE">
        <w:rPr>
          <w:lang w:val="en-IE"/>
        </w:rPr>
        <w:t xml:space="preserve"> an assessment of the </w:t>
      </w:r>
      <w:r w:rsidR="000133B9" w:rsidRPr="00A81AFE">
        <w:rPr>
          <w:lang w:val="en-IE"/>
        </w:rPr>
        <w:t>impacts</w:t>
      </w:r>
      <w:r w:rsidR="001E7008" w:rsidRPr="00A81AFE">
        <w:rPr>
          <w:lang w:val="en-IE"/>
        </w:rPr>
        <w:t xml:space="preserve"> of allowing the continued use of lead gunshot </w:t>
      </w:r>
      <w:r w:rsidR="001E7008" w:rsidRPr="00A81AFE">
        <w:rPr>
          <w:lang w:val="en-IE"/>
        </w:rPr>
        <w:lastRenderedPageBreak/>
        <w:t xml:space="preserve">for sports shooting under conditions that </w:t>
      </w:r>
      <w:r w:rsidR="00CA793E" w:rsidRPr="00A81AFE">
        <w:rPr>
          <w:lang w:val="en-IE"/>
        </w:rPr>
        <w:t xml:space="preserve">would minimise </w:t>
      </w:r>
      <w:r w:rsidR="001E7008" w:rsidRPr="00A81AFE">
        <w:rPr>
          <w:lang w:val="en-IE"/>
        </w:rPr>
        <w:t xml:space="preserve">the </w:t>
      </w:r>
      <w:r w:rsidR="00293907" w:rsidRPr="00A81AFE">
        <w:rPr>
          <w:lang w:val="en-IE"/>
        </w:rPr>
        <w:t>identified risks to human health and the environment</w:t>
      </w:r>
      <w:r w:rsidR="001E7008" w:rsidRPr="00A81AFE">
        <w:rPr>
          <w:lang w:val="en-IE"/>
        </w:rPr>
        <w:t>.</w:t>
      </w:r>
      <w:r w:rsidR="00E210D6" w:rsidRPr="00A81AFE">
        <w:rPr>
          <w:lang w:val="en-IE"/>
        </w:rPr>
        <w:t xml:space="preserve"> </w:t>
      </w:r>
      <w:r w:rsidR="00DE12B0" w:rsidRPr="00A81AFE">
        <w:rPr>
          <w:lang w:val="en-IE"/>
        </w:rPr>
        <w:t xml:space="preserve">The </w:t>
      </w:r>
      <w:r w:rsidR="00293907" w:rsidRPr="00A81AFE">
        <w:rPr>
          <w:lang w:val="en-IE"/>
        </w:rPr>
        <w:t>conditions</w:t>
      </w:r>
      <w:r w:rsidR="00275146" w:rsidRPr="00A81AFE">
        <w:rPr>
          <w:lang w:val="en-IE"/>
        </w:rPr>
        <w:t xml:space="preserve"> for the optional derogation</w:t>
      </w:r>
      <w:r w:rsidR="00293907" w:rsidRPr="00A81AFE">
        <w:rPr>
          <w:lang w:val="en-IE"/>
        </w:rPr>
        <w:t xml:space="preserve"> </w:t>
      </w:r>
      <w:r w:rsidR="00DE12B0" w:rsidRPr="00A81AFE">
        <w:rPr>
          <w:lang w:val="en-IE"/>
        </w:rPr>
        <w:t xml:space="preserve">included: </w:t>
      </w:r>
      <w:r w:rsidR="003F1719" w:rsidRPr="00A81AFE">
        <w:rPr>
          <w:lang w:val="en-IE"/>
        </w:rPr>
        <w:t>(i)</w:t>
      </w:r>
      <w:r w:rsidR="006462D9" w:rsidRPr="00A81AFE">
        <w:rPr>
          <w:lang w:val="en-IE"/>
        </w:rPr>
        <w:t> </w:t>
      </w:r>
      <w:r w:rsidR="00DE12B0" w:rsidRPr="00A81AFE">
        <w:rPr>
          <w:lang w:val="en-IE"/>
        </w:rPr>
        <w:t>the licen</w:t>
      </w:r>
      <w:r w:rsidR="00764390" w:rsidRPr="00A81AFE">
        <w:rPr>
          <w:lang w:val="en-IE"/>
        </w:rPr>
        <w:t>s</w:t>
      </w:r>
      <w:r w:rsidR="00DE12B0" w:rsidRPr="00A81AFE">
        <w:rPr>
          <w:lang w:val="en-IE"/>
        </w:rPr>
        <w:t>ing of sport</w:t>
      </w:r>
      <w:r w:rsidR="00261F74" w:rsidRPr="00A81AFE">
        <w:rPr>
          <w:lang w:val="en-IE"/>
        </w:rPr>
        <w:t>s</w:t>
      </w:r>
      <w:r w:rsidR="00DE12B0" w:rsidRPr="00A81AFE">
        <w:rPr>
          <w:lang w:val="en-IE"/>
        </w:rPr>
        <w:t xml:space="preserve"> shooters by Member States; </w:t>
      </w:r>
      <w:r w:rsidR="003F1719" w:rsidRPr="00A81AFE">
        <w:rPr>
          <w:lang w:val="en-IE"/>
        </w:rPr>
        <w:t>(ii)</w:t>
      </w:r>
      <w:r w:rsidR="006462D9" w:rsidRPr="00A81AFE">
        <w:rPr>
          <w:lang w:val="en-IE"/>
        </w:rPr>
        <w:t> </w:t>
      </w:r>
      <w:r w:rsidR="00DE12B0" w:rsidRPr="00A81AFE">
        <w:rPr>
          <w:lang w:val="en-IE"/>
        </w:rPr>
        <w:t>the authorising of sport</w:t>
      </w:r>
      <w:r w:rsidR="00764390" w:rsidRPr="00A81AFE">
        <w:rPr>
          <w:lang w:val="en-IE"/>
        </w:rPr>
        <w:t>s</w:t>
      </w:r>
      <w:r w:rsidR="009A4249" w:rsidRPr="00A81AFE">
        <w:rPr>
          <w:lang w:val="en-IE"/>
        </w:rPr>
        <w:t>-</w:t>
      </w:r>
      <w:r w:rsidR="00DE12B0" w:rsidRPr="00A81AFE">
        <w:rPr>
          <w:lang w:val="en-IE"/>
        </w:rPr>
        <w:t>shooting ranges by Member States</w:t>
      </w:r>
      <w:r w:rsidR="004A1DE8" w:rsidRPr="00A81AFE">
        <w:rPr>
          <w:lang w:val="en-IE"/>
        </w:rPr>
        <w:t xml:space="preserve">; </w:t>
      </w:r>
      <w:r w:rsidR="00037F6E" w:rsidRPr="00A81AFE">
        <w:rPr>
          <w:lang w:val="en-IE"/>
        </w:rPr>
        <w:t>(iii)</w:t>
      </w:r>
      <w:r w:rsidR="006462D9" w:rsidRPr="00A81AFE">
        <w:rPr>
          <w:lang w:val="en-IE"/>
        </w:rPr>
        <w:t> </w:t>
      </w:r>
      <w:r w:rsidR="00142937" w:rsidRPr="00A81AFE">
        <w:rPr>
          <w:lang w:val="en-IE"/>
        </w:rPr>
        <w:t xml:space="preserve">frequent </w:t>
      </w:r>
      <w:r w:rsidR="00037F6E" w:rsidRPr="00A81AFE">
        <w:rPr>
          <w:lang w:val="en-IE"/>
        </w:rPr>
        <w:t xml:space="preserve">recovery of more than 90% of the lead gunshot discharged in the shooting range; </w:t>
      </w:r>
      <w:r w:rsidR="004A1DE8" w:rsidRPr="00A81AFE">
        <w:rPr>
          <w:lang w:val="en-IE"/>
        </w:rPr>
        <w:t>(iv)</w:t>
      </w:r>
      <w:r w:rsidR="006462D9" w:rsidRPr="00A81AFE">
        <w:rPr>
          <w:lang w:val="en-IE"/>
        </w:rPr>
        <w:t> </w:t>
      </w:r>
      <w:r w:rsidR="00DE12B0" w:rsidRPr="00A81AFE">
        <w:rPr>
          <w:lang w:val="en-IE"/>
        </w:rPr>
        <w:t xml:space="preserve">the </w:t>
      </w:r>
      <w:r w:rsidR="003153DD" w:rsidRPr="00A81AFE">
        <w:rPr>
          <w:lang w:val="en-IE"/>
        </w:rPr>
        <w:t>presence</w:t>
      </w:r>
      <w:r w:rsidR="00DE12B0" w:rsidRPr="00A81AFE">
        <w:rPr>
          <w:lang w:val="en-IE"/>
        </w:rPr>
        <w:t xml:space="preserve"> of </w:t>
      </w:r>
      <w:r w:rsidR="002B2CD5" w:rsidRPr="00A81AFE">
        <w:rPr>
          <w:lang w:val="en-IE"/>
        </w:rPr>
        <w:t>strict</w:t>
      </w:r>
      <w:r w:rsidR="00DE12B0" w:rsidRPr="00A81AFE">
        <w:rPr>
          <w:lang w:val="en-IE"/>
        </w:rPr>
        <w:t xml:space="preserve"> </w:t>
      </w:r>
      <w:r w:rsidR="003153DD" w:rsidRPr="00A81AFE">
        <w:rPr>
          <w:lang w:val="en-IE"/>
        </w:rPr>
        <w:t xml:space="preserve">measures </w:t>
      </w:r>
      <w:r w:rsidR="00AE5D05" w:rsidRPr="00A81AFE">
        <w:rPr>
          <w:lang w:val="en-IE"/>
        </w:rPr>
        <w:t xml:space="preserve">for </w:t>
      </w:r>
      <w:r w:rsidR="00016C2A" w:rsidRPr="00A81AFE">
        <w:rPr>
          <w:lang w:val="en-IE"/>
        </w:rPr>
        <w:t>the</w:t>
      </w:r>
      <w:r w:rsidR="003153DD" w:rsidRPr="00A81AFE">
        <w:rPr>
          <w:lang w:val="en-IE"/>
        </w:rPr>
        <w:t xml:space="preserve"> </w:t>
      </w:r>
      <w:r w:rsidR="00AE5D05" w:rsidRPr="00A81AFE">
        <w:rPr>
          <w:lang w:val="en-IE"/>
        </w:rPr>
        <w:t xml:space="preserve">protection of </w:t>
      </w:r>
      <w:r w:rsidR="005921AB" w:rsidRPr="00A81AFE">
        <w:rPr>
          <w:lang w:val="en-IE"/>
        </w:rPr>
        <w:t xml:space="preserve">water </w:t>
      </w:r>
      <w:r w:rsidR="002B2CD5" w:rsidRPr="00A81AFE">
        <w:rPr>
          <w:lang w:val="en-IE"/>
        </w:rPr>
        <w:t>from lead contamination</w:t>
      </w:r>
      <w:r w:rsidR="00A2712C" w:rsidRPr="00A81AFE">
        <w:rPr>
          <w:lang w:val="en-IE"/>
        </w:rPr>
        <w:t>,</w:t>
      </w:r>
      <w:r w:rsidR="002B2CD5" w:rsidRPr="00A81AFE">
        <w:rPr>
          <w:lang w:val="en-IE"/>
        </w:rPr>
        <w:t xml:space="preserve"> and </w:t>
      </w:r>
      <w:r w:rsidR="00AE5D05" w:rsidRPr="00A81AFE">
        <w:rPr>
          <w:lang w:val="en-IE"/>
        </w:rPr>
        <w:t xml:space="preserve">remediation </w:t>
      </w:r>
      <w:r w:rsidR="002B2CD5" w:rsidRPr="00A81AFE">
        <w:rPr>
          <w:lang w:val="en-IE"/>
        </w:rPr>
        <w:t>from</w:t>
      </w:r>
      <w:r w:rsidR="00AE5D05" w:rsidRPr="00A81AFE">
        <w:rPr>
          <w:lang w:val="en-IE"/>
        </w:rPr>
        <w:t xml:space="preserve"> </w:t>
      </w:r>
      <w:r w:rsidR="002B2CD5" w:rsidRPr="00A81AFE">
        <w:rPr>
          <w:lang w:val="en-IE"/>
        </w:rPr>
        <w:t xml:space="preserve">such </w:t>
      </w:r>
      <w:r w:rsidR="00AE5D05" w:rsidRPr="00A81AFE">
        <w:rPr>
          <w:lang w:val="en-IE"/>
        </w:rPr>
        <w:t>contamination</w:t>
      </w:r>
      <w:r w:rsidR="005921AB" w:rsidRPr="00A81AFE">
        <w:rPr>
          <w:lang w:val="en-IE"/>
        </w:rPr>
        <w:t xml:space="preserve">; </w:t>
      </w:r>
      <w:r w:rsidR="00037F6E" w:rsidRPr="00A81AFE">
        <w:rPr>
          <w:lang w:val="en-IE"/>
        </w:rPr>
        <w:t>(v)</w:t>
      </w:r>
      <w:r w:rsidR="006462D9" w:rsidRPr="00A81AFE">
        <w:rPr>
          <w:lang w:val="en-IE"/>
        </w:rPr>
        <w:t> </w:t>
      </w:r>
      <w:r w:rsidR="001B5484" w:rsidRPr="00A81AFE">
        <w:rPr>
          <w:lang w:val="en-IE"/>
        </w:rPr>
        <w:t>a</w:t>
      </w:r>
      <w:r w:rsidR="00037F6E" w:rsidRPr="00A81AFE">
        <w:rPr>
          <w:lang w:val="en-IE"/>
        </w:rPr>
        <w:t xml:space="preserve"> ban o</w:t>
      </w:r>
      <w:r w:rsidR="001B5484" w:rsidRPr="00A81AFE">
        <w:rPr>
          <w:lang w:val="en-IE"/>
        </w:rPr>
        <w:t>n</w:t>
      </w:r>
      <w:r w:rsidR="00037F6E" w:rsidRPr="00A81AFE">
        <w:rPr>
          <w:lang w:val="en-IE"/>
        </w:rPr>
        <w:t xml:space="preserve"> any agricultural activity in the shooting range; (vi)</w:t>
      </w:r>
      <w:r w:rsidR="006462D9" w:rsidRPr="00A81AFE">
        <w:rPr>
          <w:lang w:val="en-IE"/>
        </w:rPr>
        <w:t> </w:t>
      </w:r>
      <w:r w:rsidR="00037F6E" w:rsidRPr="00A81AFE">
        <w:rPr>
          <w:lang w:val="en-IE"/>
        </w:rPr>
        <w:t>records of compliance with condition</w:t>
      </w:r>
      <w:r w:rsidR="00537660" w:rsidRPr="00A81AFE">
        <w:rPr>
          <w:lang w:val="en-IE"/>
        </w:rPr>
        <w:t>s</w:t>
      </w:r>
      <w:r w:rsidR="006462D9" w:rsidRPr="00A81AFE">
        <w:rPr>
          <w:lang w:val="en-IE"/>
        </w:rPr>
        <w:t> </w:t>
      </w:r>
      <w:r w:rsidR="00037F6E" w:rsidRPr="00A81AFE">
        <w:rPr>
          <w:lang w:val="en-IE"/>
        </w:rPr>
        <w:t xml:space="preserve">(iii) to (v); </w:t>
      </w:r>
      <w:r w:rsidR="00A2712C" w:rsidRPr="00A81AFE">
        <w:rPr>
          <w:lang w:val="en-IE"/>
        </w:rPr>
        <w:t>(</w:t>
      </w:r>
      <w:r w:rsidR="004A1DE8" w:rsidRPr="00A81AFE">
        <w:rPr>
          <w:lang w:val="en-IE"/>
        </w:rPr>
        <w:t>vi</w:t>
      </w:r>
      <w:r w:rsidR="00037F6E" w:rsidRPr="00A81AFE">
        <w:rPr>
          <w:lang w:val="en-IE"/>
        </w:rPr>
        <w:t>i</w:t>
      </w:r>
      <w:r w:rsidR="00A2712C" w:rsidRPr="00A81AFE">
        <w:rPr>
          <w:lang w:val="en-IE"/>
        </w:rPr>
        <w:t>)</w:t>
      </w:r>
      <w:r w:rsidR="006462D9" w:rsidRPr="00A81AFE">
        <w:rPr>
          <w:lang w:val="en-IE"/>
        </w:rPr>
        <w:t> </w:t>
      </w:r>
      <w:r w:rsidR="00EF24AD" w:rsidRPr="00A81AFE">
        <w:rPr>
          <w:lang w:val="en-IE"/>
        </w:rPr>
        <w:t xml:space="preserve">the labelling of </w:t>
      </w:r>
      <w:r w:rsidR="002B2CD5" w:rsidRPr="00A81AFE">
        <w:rPr>
          <w:lang w:val="en-IE"/>
        </w:rPr>
        <w:t xml:space="preserve">cartridge </w:t>
      </w:r>
      <w:r w:rsidR="00EF24AD" w:rsidRPr="00A81AFE">
        <w:rPr>
          <w:lang w:val="en-IE"/>
        </w:rPr>
        <w:t xml:space="preserve">packaging and of individual cartridges with warning statements; and </w:t>
      </w:r>
      <w:r w:rsidR="00A2712C" w:rsidRPr="00A81AFE">
        <w:rPr>
          <w:lang w:val="en-IE"/>
        </w:rPr>
        <w:t>(</w:t>
      </w:r>
      <w:r w:rsidR="004A1DE8" w:rsidRPr="00A81AFE">
        <w:rPr>
          <w:lang w:val="en-IE"/>
        </w:rPr>
        <w:t>vii</w:t>
      </w:r>
      <w:r w:rsidR="00037F6E" w:rsidRPr="00A81AFE">
        <w:rPr>
          <w:lang w:val="en-IE"/>
        </w:rPr>
        <w:t>i</w:t>
      </w:r>
      <w:r w:rsidR="00A2712C" w:rsidRPr="00A81AFE">
        <w:rPr>
          <w:lang w:val="en-IE"/>
        </w:rPr>
        <w:t>)</w:t>
      </w:r>
      <w:r w:rsidR="006462D9" w:rsidRPr="00A81AFE">
        <w:rPr>
          <w:lang w:val="en-IE"/>
        </w:rPr>
        <w:t> </w:t>
      </w:r>
      <w:r w:rsidR="00A2712C" w:rsidRPr="00A81AFE">
        <w:rPr>
          <w:lang w:val="en-IE"/>
        </w:rPr>
        <w:t>a</w:t>
      </w:r>
      <w:r w:rsidR="00EF24AD" w:rsidRPr="00A81AFE">
        <w:rPr>
          <w:lang w:val="en-IE"/>
        </w:rPr>
        <w:t xml:space="preserve"> </w:t>
      </w:r>
      <w:r w:rsidR="001B5484" w:rsidRPr="00A81AFE">
        <w:rPr>
          <w:lang w:val="en-IE"/>
        </w:rPr>
        <w:t>requirement</w:t>
      </w:r>
      <w:r w:rsidR="00EF24AD" w:rsidRPr="00A81AFE">
        <w:rPr>
          <w:lang w:val="en-IE"/>
        </w:rPr>
        <w:t xml:space="preserve"> </w:t>
      </w:r>
      <w:r w:rsidR="0052464E" w:rsidRPr="00A81AFE">
        <w:t>on</w:t>
      </w:r>
      <w:r w:rsidR="00EF24AD" w:rsidRPr="00A81AFE">
        <w:rPr>
          <w:lang w:val="en-IE"/>
        </w:rPr>
        <w:t xml:space="preserve"> Member States to report to the Commission the number of licen</w:t>
      </w:r>
      <w:r w:rsidR="00261F74" w:rsidRPr="00A81AFE">
        <w:rPr>
          <w:lang w:val="en-IE"/>
        </w:rPr>
        <w:t>s</w:t>
      </w:r>
      <w:r w:rsidR="00EF24AD" w:rsidRPr="00A81AFE">
        <w:rPr>
          <w:lang w:val="en-IE"/>
        </w:rPr>
        <w:t>ed users, authorised shooting ranges and quantity of lead gunshot used on their territory</w:t>
      </w:r>
      <w:r w:rsidR="005921AB" w:rsidRPr="00A81AFE">
        <w:rPr>
          <w:lang w:val="en-IE"/>
        </w:rPr>
        <w:t>.</w:t>
      </w:r>
      <w:r w:rsidR="00E210D6" w:rsidRPr="00A81AFE">
        <w:rPr>
          <w:lang w:val="en-IE"/>
        </w:rPr>
        <w:t xml:space="preserve"> </w:t>
      </w:r>
      <w:r w:rsidR="001B5484" w:rsidRPr="00A81AFE">
        <w:rPr>
          <w:lang w:val="en-IE"/>
        </w:rPr>
        <w:t>T</w:t>
      </w:r>
      <w:r w:rsidR="00BC03C6" w:rsidRPr="00A81AFE">
        <w:rPr>
          <w:lang w:val="en-IE"/>
        </w:rPr>
        <w:t xml:space="preserve">he Agency </w:t>
      </w:r>
      <w:r w:rsidR="001B5484" w:rsidRPr="00A81AFE">
        <w:rPr>
          <w:lang w:val="en-IE"/>
        </w:rPr>
        <w:t xml:space="preserve">also </w:t>
      </w:r>
      <w:r w:rsidR="00BC03C6" w:rsidRPr="00A81AFE">
        <w:rPr>
          <w:lang w:val="en-IE"/>
        </w:rPr>
        <w:t xml:space="preserve">considered </w:t>
      </w:r>
      <w:r w:rsidR="00A61E29" w:rsidRPr="00A81AFE">
        <w:rPr>
          <w:lang w:val="en-IE"/>
        </w:rPr>
        <w:t xml:space="preserve">a derogation for split shot </w:t>
      </w:r>
      <w:r w:rsidR="001B5484" w:rsidRPr="00A81AFE">
        <w:rPr>
          <w:lang w:val="en-IE"/>
        </w:rPr>
        <w:t xml:space="preserve">that </w:t>
      </w:r>
      <w:r w:rsidR="00BC03C6" w:rsidRPr="00A81AFE">
        <w:rPr>
          <w:lang w:val="en-IE"/>
        </w:rPr>
        <w:t>weigh</w:t>
      </w:r>
      <w:r w:rsidR="001B5484" w:rsidRPr="00A81AFE">
        <w:rPr>
          <w:lang w:val="en-IE"/>
        </w:rPr>
        <w:t>s</w:t>
      </w:r>
      <w:r w:rsidR="00BC03C6" w:rsidRPr="00A81AFE">
        <w:rPr>
          <w:lang w:val="en-IE"/>
        </w:rPr>
        <w:t xml:space="preserve"> 0</w:t>
      </w:r>
      <w:r w:rsidR="00A2712C" w:rsidRPr="00A81AFE">
        <w:rPr>
          <w:lang w:val="en-IE"/>
        </w:rPr>
        <w:t>.</w:t>
      </w:r>
      <w:r w:rsidR="00BC03C6" w:rsidRPr="00A81AFE">
        <w:rPr>
          <w:lang w:val="en-IE"/>
        </w:rPr>
        <w:t>06</w:t>
      </w:r>
      <w:r w:rsidR="00764390" w:rsidRPr="00A81AFE">
        <w:rPr>
          <w:lang w:val="en-IE"/>
        </w:rPr>
        <w:t> g</w:t>
      </w:r>
      <w:r w:rsidR="00BC03C6" w:rsidRPr="00A81AFE">
        <w:rPr>
          <w:lang w:val="en-IE"/>
        </w:rPr>
        <w:t xml:space="preserve"> </w:t>
      </w:r>
      <w:r w:rsidR="009C3A88" w:rsidRPr="00A81AFE">
        <w:rPr>
          <w:lang w:val="en-IE"/>
        </w:rPr>
        <w:t xml:space="preserve">or less </w:t>
      </w:r>
      <w:r w:rsidR="001B5484" w:rsidRPr="00A81AFE">
        <w:rPr>
          <w:lang w:val="en-IE"/>
        </w:rPr>
        <w:t xml:space="preserve">and </w:t>
      </w:r>
      <w:r w:rsidR="00A61E29" w:rsidRPr="00A81AFE">
        <w:rPr>
          <w:lang w:val="en-IE"/>
        </w:rPr>
        <w:t>is placed on the market in spill</w:t>
      </w:r>
      <w:r w:rsidR="00A2712C" w:rsidRPr="00A81AFE">
        <w:rPr>
          <w:lang w:val="en-IE"/>
        </w:rPr>
        <w:t>-</w:t>
      </w:r>
      <w:r w:rsidR="00A61E29" w:rsidRPr="00A81AFE">
        <w:rPr>
          <w:lang w:val="en-IE"/>
        </w:rPr>
        <w:t>proof and child</w:t>
      </w:r>
      <w:r w:rsidR="00A2712C" w:rsidRPr="00A81AFE">
        <w:rPr>
          <w:lang w:val="en-IE"/>
        </w:rPr>
        <w:t>-</w:t>
      </w:r>
      <w:r w:rsidR="00A61E29" w:rsidRPr="00A81AFE">
        <w:rPr>
          <w:lang w:val="en-IE"/>
        </w:rPr>
        <w:t>resistant packaging,</w:t>
      </w:r>
      <w:r w:rsidR="00B42C38" w:rsidRPr="00A81AFE">
        <w:rPr>
          <w:lang w:val="en-IE"/>
        </w:rPr>
        <w:t xml:space="preserve"> but eventually </w:t>
      </w:r>
      <w:r w:rsidR="001B5484" w:rsidRPr="00A81AFE">
        <w:rPr>
          <w:lang w:val="en-IE"/>
        </w:rPr>
        <w:t xml:space="preserve">decided </w:t>
      </w:r>
      <w:r w:rsidR="00B42C38" w:rsidRPr="00A81AFE">
        <w:rPr>
          <w:lang w:val="en-IE"/>
        </w:rPr>
        <w:t xml:space="preserve">not </w:t>
      </w:r>
      <w:r w:rsidR="001B5484" w:rsidRPr="00A81AFE">
        <w:rPr>
          <w:lang w:val="en-IE"/>
        </w:rPr>
        <w:t>to</w:t>
      </w:r>
      <w:r w:rsidR="00B42C38" w:rsidRPr="00A81AFE">
        <w:rPr>
          <w:lang w:val="en-IE"/>
        </w:rPr>
        <w:t xml:space="preserve"> recommend it because of the </w:t>
      </w:r>
      <w:r w:rsidR="00BF446D" w:rsidRPr="00A81AFE">
        <w:rPr>
          <w:lang w:val="en-IE"/>
        </w:rPr>
        <w:t xml:space="preserve">residual </w:t>
      </w:r>
      <w:r w:rsidR="00B42C38" w:rsidRPr="00A81AFE">
        <w:rPr>
          <w:lang w:val="en-IE"/>
        </w:rPr>
        <w:t>risk</w:t>
      </w:r>
      <w:r w:rsidR="00BF446D" w:rsidRPr="00A81AFE">
        <w:rPr>
          <w:lang w:val="en-IE"/>
        </w:rPr>
        <w:t xml:space="preserve"> to birds</w:t>
      </w:r>
      <w:r w:rsidR="00A61E29" w:rsidRPr="00A81AFE">
        <w:rPr>
          <w:lang w:val="en-IE"/>
        </w:rPr>
        <w:t>.</w:t>
      </w:r>
    </w:p>
    <w:p w14:paraId="08C4F85B" w14:textId="77777777" w:rsidR="00E02574" w:rsidRPr="00A81AFE" w:rsidRDefault="00203169" w:rsidP="00C77854">
      <w:pPr>
        <w:pStyle w:val="Considrant"/>
        <w:rPr>
          <w:lang w:val="en-IE"/>
        </w:rPr>
      </w:pPr>
      <w:r w:rsidRPr="00A81AFE">
        <w:rPr>
          <w:lang w:val="en-IE"/>
        </w:rPr>
        <w:t>T</w:t>
      </w:r>
      <w:r w:rsidR="00306BE8" w:rsidRPr="00A81AFE">
        <w:rPr>
          <w:lang w:val="en-IE"/>
        </w:rPr>
        <w:t xml:space="preserve">he Agency </w:t>
      </w:r>
      <w:r w:rsidR="006B2CD0" w:rsidRPr="00A81AFE">
        <w:rPr>
          <w:lang w:val="en-IE"/>
        </w:rPr>
        <w:t xml:space="preserve">indicated </w:t>
      </w:r>
      <w:r w:rsidR="00306BE8" w:rsidRPr="00A81AFE">
        <w:rPr>
          <w:lang w:val="en-IE"/>
        </w:rPr>
        <w:t>that the restriction should not apply to indoor shooting, uses by police and the military</w:t>
      </w:r>
      <w:r w:rsidR="00A2712C" w:rsidRPr="00A81AFE">
        <w:rPr>
          <w:lang w:val="en-IE"/>
        </w:rPr>
        <w:t>,</w:t>
      </w:r>
      <w:r w:rsidR="00306BE8" w:rsidRPr="00A81AFE">
        <w:rPr>
          <w:lang w:val="en-IE"/>
        </w:rPr>
        <w:t xml:space="preserve"> and </w:t>
      </w:r>
      <w:r w:rsidRPr="00A81AFE">
        <w:rPr>
          <w:lang w:val="en-IE"/>
        </w:rPr>
        <w:t xml:space="preserve">uses </w:t>
      </w:r>
      <w:r w:rsidR="00306BE8" w:rsidRPr="00A81AFE">
        <w:rPr>
          <w:lang w:val="en-IE"/>
        </w:rPr>
        <w:t>for security purposes</w:t>
      </w:r>
      <w:r w:rsidR="00F103DA" w:rsidRPr="00A81AFE">
        <w:rPr>
          <w:lang w:val="en-IE"/>
        </w:rPr>
        <w:t xml:space="preserve">, </w:t>
      </w:r>
      <w:r w:rsidR="00BF446D" w:rsidRPr="00A81AFE">
        <w:t>as indicated in</w:t>
      </w:r>
      <w:r w:rsidR="00BF7958" w:rsidRPr="00A81AFE">
        <w:t xml:space="preserve"> the Commission </w:t>
      </w:r>
      <w:r w:rsidR="00BF446D" w:rsidRPr="00A81AFE">
        <w:t xml:space="preserve">request </w:t>
      </w:r>
      <w:r w:rsidR="00D67201" w:rsidRPr="00A81AFE">
        <w:t xml:space="preserve">to the Agency </w:t>
      </w:r>
      <w:r w:rsidR="00BF446D" w:rsidRPr="00A81AFE">
        <w:t>of 16 July 2019</w:t>
      </w:r>
      <w:r w:rsidR="00BF7958" w:rsidRPr="00A81AFE">
        <w:rPr>
          <w:lang w:val="en-IE"/>
        </w:rPr>
        <w:t xml:space="preserve">, </w:t>
      </w:r>
      <w:r w:rsidR="005909F6" w:rsidRPr="00A81AFE">
        <w:rPr>
          <w:lang w:val="en-IE"/>
        </w:rPr>
        <w:t xml:space="preserve">as well as uses related to </w:t>
      </w:r>
      <w:r w:rsidR="00F103DA" w:rsidRPr="00A81AFE">
        <w:rPr>
          <w:lang w:val="en-IE"/>
        </w:rPr>
        <w:t>testing</w:t>
      </w:r>
      <w:r w:rsidR="005909F6" w:rsidRPr="00A81AFE">
        <w:rPr>
          <w:lang w:val="en-IE"/>
        </w:rPr>
        <w:t>,</w:t>
      </w:r>
      <w:r w:rsidR="00F103DA" w:rsidRPr="00A81AFE">
        <w:rPr>
          <w:lang w:val="en-IE"/>
        </w:rPr>
        <w:t xml:space="preserve"> development</w:t>
      </w:r>
      <w:r w:rsidR="005909F6" w:rsidRPr="00A81AFE">
        <w:rPr>
          <w:lang w:val="en-IE"/>
        </w:rPr>
        <w:t>,</w:t>
      </w:r>
      <w:r w:rsidR="00F103DA" w:rsidRPr="00A81AFE">
        <w:rPr>
          <w:lang w:val="en-IE"/>
        </w:rPr>
        <w:t xml:space="preserve"> research </w:t>
      </w:r>
      <w:r w:rsidR="005909F6" w:rsidRPr="00A81AFE">
        <w:rPr>
          <w:lang w:val="en-IE"/>
        </w:rPr>
        <w:t>and</w:t>
      </w:r>
      <w:r w:rsidR="00F103DA" w:rsidRPr="00A81AFE">
        <w:rPr>
          <w:lang w:val="en-IE"/>
        </w:rPr>
        <w:t xml:space="preserve"> investigation.</w:t>
      </w:r>
      <w:r w:rsidR="00C5242D" w:rsidRPr="00A81AFE">
        <w:rPr>
          <w:lang w:val="en-IE"/>
        </w:rPr>
        <w:t xml:space="preserve"> </w:t>
      </w:r>
    </w:p>
    <w:p w14:paraId="07787069" w14:textId="77777777" w:rsidR="00724912" w:rsidRPr="00A81AFE" w:rsidRDefault="00724912" w:rsidP="00BD031A">
      <w:pPr>
        <w:pStyle w:val="Considrant"/>
        <w:rPr>
          <w:lang w:val="en-IE"/>
        </w:rPr>
      </w:pPr>
      <w:r w:rsidRPr="00A81AFE">
        <w:rPr>
          <w:lang w:val="en-IE"/>
        </w:rPr>
        <w:t>The Agency revised</w:t>
      </w:r>
      <w:r w:rsidR="005D2726" w:rsidRPr="00A81AFE">
        <w:rPr>
          <w:lang w:val="en-IE"/>
        </w:rPr>
        <w:t> </w:t>
      </w:r>
      <w:r w:rsidRPr="00A81AFE">
        <w:rPr>
          <w:rStyle w:val="Allmrkuseviide"/>
          <w:lang w:val="en-IE"/>
        </w:rPr>
        <w:footnoteReference w:id="9"/>
      </w:r>
      <w:r w:rsidRPr="00A81AFE">
        <w:rPr>
          <w:lang w:val="en-IE"/>
        </w:rPr>
        <w:t xml:space="preserve"> its initial proposal to take into account the comments received during the public consultation on the Annex</w:t>
      </w:r>
      <w:r w:rsidR="006462D9" w:rsidRPr="00A81AFE">
        <w:rPr>
          <w:lang w:val="en-IE"/>
        </w:rPr>
        <w:t> </w:t>
      </w:r>
      <w:r w:rsidRPr="00A81AFE">
        <w:rPr>
          <w:lang w:val="en-IE"/>
        </w:rPr>
        <w:t>XV</w:t>
      </w:r>
      <w:r w:rsidR="006462D9" w:rsidRPr="00A81AFE">
        <w:rPr>
          <w:lang w:val="en-IE"/>
        </w:rPr>
        <w:t xml:space="preserve"> </w:t>
      </w:r>
      <w:r w:rsidRPr="00A81AFE">
        <w:rPr>
          <w:lang w:val="en-IE"/>
        </w:rPr>
        <w:t xml:space="preserve">dossier. In particular, </w:t>
      </w:r>
      <w:r w:rsidR="00A2712C" w:rsidRPr="00A81AFE">
        <w:rPr>
          <w:lang w:val="en-IE"/>
        </w:rPr>
        <w:t xml:space="preserve">it </w:t>
      </w:r>
      <w:r w:rsidR="002B2CD5" w:rsidRPr="00A81AFE">
        <w:rPr>
          <w:lang w:val="en-IE"/>
        </w:rPr>
        <w:t xml:space="preserve">proposed </w:t>
      </w:r>
      <w:r w:rsidR="00203169" w:rsidRPr="00A81AFE">
        <w:rPr>
          <w:lang w:val="en-IE"/>
        </w:rPr>
        <w:t xml:space="preserve">an </w:t>
      </w:r>
      <w:r w:rsidRPr="00A81AFE">
        <w:rPr>
          <w:lang w:val="en-IE"/>
        </w:rPr>
        <w:t xml:space="preserve">increase </w:t>
      </w:r>
      <w:r w:rsidR="00203169" w:rsidRPr="00A81AFE">
        <w:rPr>
          <w:lang w:val="en-IE"/>
        </w:rPr>
        <w:t xml:space="preserve">in </w:t>
      </w:r>
      <w:r w:rsidRPr="00A81AFE">
        <w:rPr>
          <w:lang w:val="en-IE"/>
        </w:rPr>
        <w:t xml:space="preserve">the </w:t>
      </w:r>
      <w:r w:rsidR="00203169" w:rsidRPr="00A81AFE">
        <w:rPr>
          <w:lang w:val="en-IE"/>
        </w:rPr>
        <w:t xml:space="preserve">permissible </w:t>
      </w:r>
      <w:r w:rsidRPr="00A81AFE">
        <w:rPr>
          <w:lang w:val="en-IE"/>
        </w:rPr>
        <w:t xml:space="preserve">concentration limit for lead in </w:t>
      </w:r>
      <w:r w:rsidR="003D025E" w:rsidRPr="00A81AFE">
        <w:rPr>
          <w:lang w:val="en-IE"/>
        </w:rPr>
        <w:t xml:space="preserve">projectiles other than gunshot </w:t>
      </w:r>
      <w:r w:rsidRPr="00A81AFE">
        <w:rPr>
          <w:lang w:val="en-IE"/>
        </w:rPr>
        <w:t xml:space="preserve">containing copper or copper alloys from </w:t>
      </w:r>
      <w:r w:rsidR="007F16D5" w:rsidRPr="00A81AFE">
        <w:rPr>
          <w:lang w:val="en-IE"/>
        </w:rPr>
        <w:t>less than</w:t>
      </w:r>
      <w:r w:rsidR="004E5049" w:rsidRPr="00A81AFE">
        <w:rPr>
          <w:lang w:val="en-IE"/>
        </w:rPr>
        <w:t xml:space="preserve"> </w:t>
      </w:r>
      <w:r w:rsidRPr="00A81AFE">
        <w:rPr>
          <w:lang w:val="en-IE"/>
        </w:rPr>
        <w:t xml:space="preserve">1% to </w:t>
      </w:r>
      <w:r w:rsidR="007F16D5" w:rsidRPr="00A81AFE">
        <w:rPr>
          <w:lang w:val="en-IE"/>
        </w:rPr>
        <w:t>less than</w:t>
      </w:r>
      <w:r w:rsidR="004E5049" w:rsidRPr="00A81AFE">
        <w:rPr>
          <w:lang w:val="en-IE"/>
        </w:rPr>
        <w:t xml:space="preserve"> </w:t>
      </w:r>
      <w:r w:rsidRPr="00A81AFE">
        <w:rPr>
          <w:lang w:val="en-IE"/>
        </w:rPr>
        <w:t xml:space="preserve">3% </w:t>
      </w:r>
      <w:r w:rsidR="00DB4B10" w:rsidRPr="00A81AFE">
        <w:t>by weight</w:t>
      </w:r>
      <w:r w:rsidR="00203169" w:rsidRPr="00A81AFE">
        <w:rPr>
          <w:lang w:val="en-IE"/>
        </w:rPr>
        <w:t>. This was</w:t>
      </w:r>
      <w:r w:rsidRPr="00A81AFE">
        <w:rPr>
          <w:lang w:val="en-IE"/>
        </w:rPr>
        <w:t xml:space="preserve"> </w:t>
      </w:r>
      <w:r w:rsidR="00203169" w:rsidRPr="00A81AFE">
        <w:rPr>
          <w:lang w:val="en-IE"/>
        </w:rPr>
        <w:t>because</w:t>
      </w:r>
      <w:r w:rsidR="00BD031A" w:rsidRPr="00A81AFE">
        <w:rPr>
          <w:lang w:val="en-IE"/>
        </w:rPr>
        <w:t xml:space="preserve"> alternatives made of brass may currently contain up to 3% lead</w:t>
      </w:r>
      <w:r w:rsidR="00740748" w:rsidRPr="00A81AFE">
        <w:rPr>
          <w:lang w:val="en-IE"/>
        </w:rPr>
        <w:t xml:space="preserve"> and lowering the lead content to </w:t>
      </w:r>
      <w:r w:rsidR="004E5049" w:rsidRPr="00A81AFE">
        <w:rPr>
          <w:lang w:val="en-IE"/>
        </w:rPr>
        <w:t xml:space="preserve">less than </w:t>
      </w:r>
      <w:r w:rsidR="00740748" w:rsidRPr="00A81AFE">
        <w:rPr>
          <w:lang w:val="en-IE"/>
        </w:rPr>
        <w:t>1% would affect existing alternatives to lead ammunition</w:t>
      </w:r>
      <w:r w:rsidR="00BD031A" w:rsidRPr="00A81AFE">
        <w:rPr>
          <w:lang w:val="en-IE"/>
        </w:rPr>
        <w:t>. However</w:t>
      </w:r>
      <w:r w:rsidR="00BD031A" w:rsidRPr="00A81AFE">
        <w:t xml:space="preserve">, </w:t>
      </w:r>
      <w:r w:rsidR="009369FC" w:rsidRPr="00A81AFE">
        <w:t xml:space="preserve">the Agency </w:t>
      </w:r>
      <w:r w:rsidR="00784564" w:rsidRPr="00A81AFE">
        <w:t xml:space="preserve">considered that </w:t>
      </w:r>
      <w:r w:rsidR="007940D2" w:rsidRPr="00A81AFE">
        <w:t>that</w:t>
      </w:r>
      <w:r w:rsidR="00BD031A" w:rsidRPr="00A81AFE">
        <w:t xml:space="preserve"> </w:t>
      </w:r>
      <w:r w:rsidR="00BD031A" w:rsidRPr="00A81AFE">
        <w:rPr>
          <w:lang w:val="en-IE"/>
        </w:rPr>
        <w:t xml:space="preserve">derogation </w:t>
      </w:r>
      <w:r w:rsidR="00BD031A" w:rsidRPr="00A81AFE">
        <w:t xml:space="preserve">should be </w:t>
      </w:r>
      <w:r w:rsidRPr="00A81AFE">
        <w:t>review</w:t>
      </w:r>
      <w:r w:rsidR="00405476" w:rsidRPr="00A81AFE">
        <w:t>ed</w:t>
      </w:r>
      <w:r w:rsidRPr="00A81AFE">
        <w:rPr>
          <w:lang w:val="en-IE"/>
        </w:rPr>
        <w:t xml:space="preserve"> before the </w:t>
      </w:r>
      <w:r w:rsidRPr="00A81AFE">
        <w:t>entry into force of the restriction</w:t>
      </w:r>
      <w:r w:rsidRPr="00A81AFE">
        <w:rPr>
          <w:lang w:val="en-IE"/>
        </w:rPr>
        <w:t xml:space="preserve"> </w:t>
      </w:r>
      <w:r w:rsidR="00203169" w:rsidRPr="00A81AFE">
        <w:rPr>
          <w:lang w:val="en-IE"/>
        </w:rPr>
        <w:t>in order</w:t>
      </w:r>
      <w:r w:rsidRPr="00A81AFE">
        <w:t xml:space="preserve"> to determine</w:t>
      </w:r>
      <w:r w:rsidRPr="00A81AFE">
        <w:rPr>
          <w:lang w:val="en-IE"/>
        </w:rPr>
        <w:t xml:space="preserve"> whether </w:t>
      </w:r>
      <w:r w:rsidR="00B963BE" w:rsidRPr="00A81AFE">
        <w:rPr>
          <w:lang w:val="en-IE"/>
        </w:rPr>
        <w:t xml:space="preserve">copper and copper alloys with </w:t>
      </w:r>
      <w:r w:rsidRPr="00A81AFE">
        <w:rPr>
          <w:lang w:val="en-IE"/>
        </w:rPr>
        <w:t xml:space="preserve">a </w:t>
      </w:r>
      <w:r w:rsidR="00B963BE" w:rsidRPr="00A81AFE">
        <w:rPr>
          <w:lang w:val="en-IE"/>
        </w:rPr>
        <w:t xml:space="preserve">lead </w:t>
      </w:r>
      <w:r w:rsidRPr="00A81AFE">
        <w:rPr>
          <w:lang w:val="en-IE"/>
        </w:rPr>
        <w:t xml:space="preserve">concentration of less than </w:t>
      </w:r>
      <w:r w:rsidR="007F16D5" w:rsidRPr="00A81AFE">
        <w:rPr>
          <w:lang w:val="en-IE"/>
        </w:rPr>
        <w:t>1</w:t>
      </w:r>
      <w:r w:rsidRPr="00A81AFE">
        <w:rPr>
          <w:lang w:val="en-IE"/>
        </w:rPr>
        <w:t xml:space="preserve">% </w:t>
      </w:r>
      <w:r w:rsidR="004867F4" w:rsidRPr="00A81AFE">
        <w:rPr>
          <w:lang w:val="en-IE"/>
        </w:rPr>
        <w:t>are available and their use in projectiles other than gunshot is feasible</w:t>
      </w:r>
      <w:r w:rsidRPr="00A81AFE">
        <w:rPr>
          <w:lang w:val="en-IE"/>
        </w:rPr>
        <w:t xml:space="preserve">. </w:t>
      </w:r>
      <w:r w:rsidR="00A2712C" w:rsidRPr="00A81AFE">
        <w:rPr>
          <w:lang w:val="en-IE"/>
        </w:rPr>
        <w:t>It</w:t>
      </w:r>
      <w:r w:rsidRPr="00A81AFE">
        <w:rPr>
          <w:lang w:val="en-IE"/>
        </w:rPr>
        <w:t xml:space="preserve"> also included additional derogations for seal hunting with bullets and for hunting with full</w:t>
      </w:r>
      <w:r w:rsidR="00405476" w:rsidRPr="00A81AFE">
        <w:rPr>
          <w:lang w:val="en-IE"/>
        </w:rPr>
        <w:t xml:space="preserve"> </w:t>
      </w:r>
      <w:r w:rsidRPr="00A81AFE">
        <w:rPr>
          <w:lang w:val="en-IE"/>
        </w:rPr>
        <w:t>metal</w:t>
      </w:r>
      <w:r w:rsidR="00405476" w:rsidRPr="00A81AFE">
        <w:rPr>
          <w:lang w:val="en-IE"/>
        </w:rPr>
        <w:t xml:space="preserve"> </w:t>
      </w:r>
      <w:r w:rsidRPr="00A81AFE">
        <w:rPr>
          <w:lang w:val="en-IE"/>
        </w:rPr>
        <w:t>jacket bullets, under certain conditions. Moreover, the</w:t>
      </w:r>
      <w:r w:rsidR="00AF6434" w:rsidRPr="00A81AFE">
        <w:rPr>
          <w:lang w:val="en-IE"/>
        </w:rPr>
        <w:t xml:space="preserve"> Agenc</w:t>
      </w:r>
      <w:r w:rsidRPr="00A81AFE">
        <w:rPr>
          <w:lang w:val="en-IE"/>
        </w:rPr>
        <w:t xml:space="preserve">y updated the conditions for the derogation for the use of </w:t>
      </w:r>
      <w:r w:rsidR="005167C1" w:rsidRPr="00A81AFE">
        <w:rPr>
          <w:lang w:val="en-IE"/>
        </w:rPr>
        <w:t xml:space="preserve">projectiles other than gunshot </w:t>
      </w:r>
      <w:r w:rsidRPr="00A81AFE">
        <w:rPr>
          <w:lang w:val="en-IE"/>
        </w:rPr>
        <w:t xml:space="preserve">for sports shooting, </w:t>
      </w:r>
      <w:r w:rsidR="00203169" w:rsidRPr="00A81AFE">
        <w:rPr>
          <w:lang w:val="en-IE"/>
        </w:rPr>
        <w:t>so as to</w:t>
      </w:r>
      <w:r w:rsidRPr="00A81AFE">
        <w:rPr>
          <w:lang w:val="en-IE"/>
        </w:rPr>
        <w:t xml:space="preserve"> mak</w:t>
      </w:r>
      <w:r w:rsidR="00203169" w:rsidRPr="00A81AFE">
        <w:rPr>
          <w:lang w:val="en-IE"/>
        </w:rPr>
        <w:t>e</w:t>
      </w:r>
      <w:r w:rsidRPr="00A81AFE">
        <w:rPr>
          <w:lang w:val="en-IE"/>
        </w:rPr>
        <w:t xml:space="preserve"> it dependent on the presence of trap chambers or </w:t>
      </w:r>
      <w:r w:rsidR="004533FD" w:rsidRPr="00A81AFE">
        <w:rPr>
          <w:lang w:val="en-IE"/>
        </w:rPr>
        <w:t>certain</w:t>
      </w:r>
      <w:r w:rsidRPr="00A81AFE">
        <w:rPr>
          <w:lang w:val="en-IE"/>
        </w:rPr>
        <w:t xml:space="preserve"> sand traps</w:t>
      </w:r>
      <w:r w:rsidR="004533FD" w:rsidRPr="00A81AFE">
        <w:rPr>
          <w:lang w:val="en-IE"/>
        </w:rPr>
        <w:t>,</w:t>
      </w:r>
      <w:r w:rsidRPr="00A81AFE">
        <w:rPr>
          <w:lang w:val="en-IE"/>
        </w:rPr>
        <w:t xml:space="preserve"> without a mandatory </w:t>
      </w:r>
      <w:r w:rsidR="005167C1" w:rsidRPr="00A81AFE">
        <w:rPr>
          <w:lang w:val="en-IE"/>
        </w:rPr>
        <w:t>lead</w:t>
      </w:r>
      <w:r w:rsidR="00AF6434" w:rsidRPr="00A81AFE">
        <w:rPr>
          <w:lang w:val="en-IE"/>
        </w:rPr>
        <w:t>-</w:t>
      </w:r>
      <w:r w:rsidRPr="00A81AFE">
        <w:rPr>
          <w:lang w:val="en-IE"/>
        </w:rPr>
        <w:t>recovery rate</w:t>
      </w:r>
      <w:r w:rsidR="004533FD" w:rsidRPr="00A81AFE">
        <w:rPr>
          <w:lang w:val="en-IE"/>
        </w:rPr>
        <w:t>,</w:t>
      </w:r>
      <w:r w:rsidRPr="00A81AFE">
        <w:rPr>
          <w:lang w:val="en-IE"/>
        </w:rPr>
        <w:t xml:space="preserve"> and </w:t>
      </w:r>
      <w:r w:rsidR="005167C1" w:rsidRPr="00A81AFE">
        <w:rPr>
          <w:lang w:val="en-IE"/>
        </w:rPr>
        <w:t xml:space="preserve">on </w:t>
      </w:r>
      <w:r w:rsidR="00203169" w:rsidRPr="00A81AFE">
        <w:rPr>
          <w:lang w:val="en-IE"/>
        </w:rPr>
        <w:t xml:space="preserve">no </w:t>
      </w:r>
      <w:r w:rsidRPr="00A81AFE">
        <w:rPr>
          <w:lang w:val="en-IE"/>
        </w:rPr>
        <w:t>agricultural activities tak</w:t>
      </w:r>
      <w:r w:rsidR="005167C1" w:rsidRPr="00A81AFE">
        <w:rPr>
          <w:lang w:val="en-IE"/>
        </w:rPr>
        <w:t>ing</w:t>
      </w:r>
      <w:r w:rsidRPr="00A81AFE">
        <w:rPr>
          <w:lang w:val="en-IE"/>
        </w:rPr>
        <w:t xml:space="preserve"> place at the shooting range. </w:t>
      </w:r>
      <w:r w:rsidR="00203169" w:rsidRPr="00A81AFE">
        <w:rPr>
          <w:lang w:val="en-IE"/>
        </w:rPr>
        <w:t>T</w:t>
      </w:r>
      <w:r w:rsidRPr="00A81AFE">
        <w:rPr>
          <w:lang w:val="en-IE"/>
        </w:rPr>
        <w:t>he</w:t>
      </w:r>
      <w:r w:rsidR="00AF6434" w:rsidRPr="00A81AFE">
        <w:rPr>
          <w:lang w:val="en-IE"/>
        </w:rPr>
        <w:t xml:space="preserve"> Agency</w:t>
      </w:r>
      <w:r w:rsidRPr="00A81AFE">
        <w:rPr>
          <w:lang w:val="en-IE"/>
        </w:rPr>
        <w:t xml:space="preserve"> also recommended </w:t>
      </w:r>
      <w:r w:rsidR="00AF6434" w:rsidRPr="00A81AFE">
        <w:rPr>
          <w:lang w:val="en-IE"/>
        </w:rPr>
        <w:t>that</w:t>
      </w:r>
      <w:r w:rsidRPr="00A81AFE">
        <w:rPr>
          <w:lang w:val="en-IE"/>
        </w:rPr>
        <w:t xml:space="preserve"> the appropriateness of a </w:t>
      </w:r>
      <w:r w:rsidR="006E51DB" w:rsidRPr="00A81AFE">
        <w:t xml:space="preserve">deferred application of </w:t>
      </w:r>
      <w:r w:rsidR="004717F8" w:rsidRPr="00A81AFE">
        <w:t>five</w:t>
      </w:r>
      <w:r w:rsidR="006E51DB" w:rsidRPr="00A81AFE">
        <w:t xml:space="preserve"> </w:t>
      </w:r>
      <w:r w:rsidRPr="00A81AFE">
        <w:t>year</w:t>
      </w:r>
      <w:r w:rsidR="006E51DB" w:rsidRPr="00A81AFE">
        <w:t>s</w:t>
      </w:r>
      <w:r w:rsidRPr="00A81AFE">
        <w:rPr>
          <w:lang w:val="en-IE"/>
        </w:rPr>
        <w:t xml:space="preserve"> for the ban on hunting with small</w:t>
      </w:r>
      <w:r w:rsidR="0033108D" w:rsidRPr="00A81AFE">
        <w:rPr>
          <w:lang w:val="en-IE"/>
        </w:rPr>
        <w:t>-</w:t>
      </w:r>
      <w:r w:rsidRPr="00A81AFE">
        <w:rPr>
          <w:lang w:val="en-IE"/>
        </w:rPr>
        <w:t>calibre lead bullets</w:t>
      </w:r>
      <w:r w:rsidR="00AF6434" w:rsidRPr="00A81AFE">
        <w:rPr>
          <w:lang w:val="en-IE"/>
        </w:rPr>
        <w:t xml:space="preserve"> </w:t>
      </w:r>
      <w:r w:rsidR="00203169" w:rsidRPr="00A81AFE">
        <w:rPr>
          <w:lang w:val="en-IE"/>
        </w:rPr>
        <w:t xml:space="preserve">should </w:t>
      </w:r>
      <w:r w:rsidR="00AF6434" w:rsidRPr="00A81AFE">
        <w:rPr>
          <w:lang w:val="en-IE"/>
        </w:rPr>
        <w:t>be verified</w:t>
      </w:r>
      <w:r w:rsidRPr="00A81AFE">
        <w:rPr>
          <w:lang w:val="en-IE"/>
        </w:rPr>
        <w:t xml:space="preserve"> by means of a review before </w:t>
      </w:r>
      <w:r w:rsidRPr="00A81AFE">
        <w:t>th</w:t>
      </w:r>
      <w:r w:rsidR="005D1E88" w:rsidRPr="00A81AFE">
        <w:t>at</w:t>
      </w:r>
      <w:r w:rsidRPr="00A81AFE">
        <w:rPr>
          <w:lang w:val="en-IE"/>
        </w:rPr>
        <w:t xml:space="preserve"> </w:t>
      </w:r>
      <w:r w:rsidR="004717F8" w:rsidRPr="00A81AFE">
        <w:t>five</w:t>
      </w:r>
      <w:r w:rsidR="009B365F" w:rsidRPr="00A81AFE">
        <w:t>-</w:t>
      </w:r>
      <w:r w:rsidR="005829D2" w:rsidRPr="00A81AFE">
        <w:t xml:space="preserve">year </w:t>
      </w:r>
      <w:r w:rsidRPr="00A81AFE">
        <w:rPr>
          <w:lang w:val="en-IE"/>
        </w:rPr>
        <w:t>period ends.</w:t>
      </w:r>
    </w:p>
    <w:p w14:paraId="327D2C36" w14:textId="77777777" w:rsidR="008515E4" w:rsidRPr="00A81AFE" w:rsidRDefault="003602B0" w:rsidP="008515E4">
      <w:pPr>
        <w:pStyle w:val="Considrant"/>
        <w:rPr>
          <w:lang w:val="en-IE"/>
        </w:rPr>
      </w:pPr>
      <w:r w:rsidRPr="00A81AFE">
        <w:t>Only a</w:t>
      </w:r>
      <w:r w:rsidR="005B6BEE" w:rsidRPr="00A81AFE">
        <w:t xml:space="preserve"> limited number of </w:t>
      </w:r>
      <w:r w:rsidR="008515E4" w:rsidRPr="00A81AFE">
        <w:rPr>
          <w:lang w:val="en-IE"/>
        </w:rPr>
        <w:t xml:space="preserve">Member States have national provisions </w:t>
      </w:r>
      <w:r w:rsidR="00203169" w:rsidRPr="00A81AFE">
        <w:rPr>
          <w:lang w:val="en-IE"/>
        </w:rPr>
        <w:t xml:space="preserve">in place that </w:t>
      </w:r>
      <w:r w:rsidR="008515E4" w:rsidRPr="00A81AFE">
        <w:rPr>
          <w:lang w:val="en-IE"/>
        </w:rPr>
        <w:t>prohibit the use of lead in hunting, outdoor shooting or fishing to reduce lead emissions and exposure. The Annex</w:t>
      </w:r>
      <w:r w:rsidR="004A769C" w:rsidRPr="00A81AFE">
        <w:rPr>
          <w:lang w:val="en-IE"/>
        </w:rPr>
        <w:t> </w:t>
      </w:r>
      <w:r w:rsidR="008515E4" w:rsidRPr="00A81AFE">
        <w:rPr>
          <w:lang w:val="en-IE"/>
        </w:rPr>
        <w:t xml:space="preserve">XV dossier demonstrated that </w:t>
      </w:r>
      <w:r w:rsidR="008515E4" w:rsidRPr="00A81AFE">
        <w:t>U</w:t>
      </w:r>
      <w:r w:rsidR="009B365F" w:rsidRPr="00A81AFE">
        <w:t>nion</w:t>
      </w:r>
      <w:r w:rsidR="008515E4" w:rsidRPr="00A81AFE">
        <w:rPr>
          <w:lang w:val="en-IE"/>
        </w:rPr>
        <w:t xml:space="preserve">-wide action to address the risk associated with lead and lead compounds in ammunition and fishing tackle is necessary </w:t>
      </w:r>
      <w:r w:rsidR="00203169" w:rsidRPr="00A81AFE">
        <w:rPr>
          <w:lang w:val="en-IE"/>
        </w:rPr>
        <w:t xml:space="preserve">in order </w:t>
      </w:r>
      <w:r w:rsidR="008515E4" w:rsidRPr="00A81AFE">
        <w:rPr>
          <w:lang w:val="en-IE"/>
        </w:rPr>
        <w:t>to ensure</w:t>
      </w:r>
      <w:r w:rsidR="00D25D33" w:rsidRPr="00A81AFE">
        <w:rPr>
          <w:lang w:val="en-IE"/>
        </w:rPr>
        <w:t xml:space="preserve"> a harmonised </w:t>
      </w:r>
      <w:r w:rsidR="008515E4" w:rsidRPr="00A81AFE">
        <w:rPr>
          <w:lang w:val="en-IE"/>
        </w:rPr>
        <w:t>level of protection</w:t>
      </w:r>
      <w:r w:rsidR="00B402F0" w:rsidRPr="00A81AFE">
        <w:t xml:space="preserve"> </w:t>
      </w:r>
      <w:r w:rsidR="00405476" w:rsidRPr="00A81AFE">
        <w:t>across the Union</w:t>
      </w:r>
      <w:r w:rsidR="008515E4" w:rsidRPr="00A81AFE">
        <w:rPr>
          <w:lang w:val="en-IE"/>
        </w:rPr>
        <w:t>.</w:t>
      </w:r>
    </w:p>
    <w:p w14:paraId="0715D2B6" w14:textId="77777777" w:rsidR="00C77854" w:rsidRPr="00A81AFE" w:rsidRDefault="006A0D29" w:rsidP="00C77854">
      <w:pPr>
        <w:pStyle w:val="Considrant"/>
        <w:rPr>
          <w:lang w:val="en-IE"/>
        </w:rPr>
      </w:pPr>
      <w:r w:rsidRPr="00A81AFE">
        <w:rPr>
          <w:lang w:val="en-IE"/>
        </w:rPr>
        <w:t>On 2</w:t>
      </w:r>
      <w:r w:rsidR="00764390" w:rsidRPr="00A81AFE">
        <w:rPr>
          <w:lang w:val="en-IE"/>
        </w:rPr>
        <w:t> </w:t>
      </w:r>
      <w:r w:rsidRPr="00A81AFE">
        <w:rPr>
          <w:lang w:val="en-IE"/>
        </w:rPr>
        <w:t>June</w:t>
      </w:r>
      <w:r w:rsidR="00764390" w:rsidRPr="00A81AFE">
        <w:rPr>
          <w:lang w:val="en-IE"/>
        </w:rPr>
        <w:t> </w:t>
      </w:r>
      <w:r w:rsidRPr="00A81AFE">
        <w:rPr>
          <w:lang w:val="en-IE"/>
        </w:rPr>
        <w:t>2022, the Agency’s Committee for Risk Assessment (</w:t>
      </w:r>
      <w:r w:rsidR="00DC0CA6" w:rsidRPr="00A81AFE">
        <w:rPr>
          <w:lang w:val="en-IE"/>
        </w:rPr>
        <w:t>RAC</w:t>
      </w:r>
      <w:r w:rsidRPr="00A81AFE">
        <w:rPr>
          <w:lang w:val="en-IE"/>
        </w:rPr>
        <w:t>) adopted an opinion pursuant to Article</w:t>
      </w:r>
      <w:r w:rsidR="004A769C" w:rsidRPr="00A81AFE">
        <w:rPr>
          <w:lang w:val="en-IE"/>
        </w:rPr>
        <w:t> </w:t>
      </w:r>
      <w:r w:rsidRPr="00A81AFE">
        <w:rPr>
          <w:lang w:val="en-IE"/>
        </w:rPr>
        <w:t>70 of Regulation (EC) No</w:t>
      </w:r>
      <w:r w:rsidR="004A769C" w:rsidRPr="00A81AFE">
        <w:rPr>
          <w:lang w:val="en-IE"/>
        </w:rPr>
        <w:t> </w:t>
      </w:r>
      <w:r w:rsidRPr="00A81AFE">
        <w:rPr>
          <w:lang w:val="en-IE"/>
        </w:rPr>
        <w:t xml:space="preserve">1907/2006 with respect to the </w:t>
      </w:r>
      <w:r w:rsidRPr="00A81AFE">
        <w:rPr>
          <w:lang w:val="en-IE"/>
        </w:rPr>
        <w:lastRenderedPageBreak/>
        <w:t>Annex</w:t>
      </w:r>
      <w:r w:rsidR="004A769C" w:rsidRPr="00A81AFE">
        <w:rPr>
          <w:lang w:val="en-IE"/>
        </w:rPr>
        <w:t> </w:t>
      </w:r>
      <w:r w:rsidRPr="00A81AFE">
        <w:rPr>
          <w:lang w:val="en-IE"/>
        </w:rPr>
        <w:t xml:space="preserve">XV dossier. In </w:t>
      </w:r>
      <w:r w:rsidR="004B6AB0" w:rsidRPr="00A81AFE">
        <w:rPr>
          <w:lang w:val="en-IE"/>
        </w:rPr>
        <w:t>its</w:t>
      </w:r>
      <w:r w:rsidRPr="00A81AFE">
        <w:rPr>
          <w:lang w:val="en-IE"/>
        </w:rPr>
        <w:t xml:space="preserve"> opinion,</w:t>
      </w:r>
      <w:r w:rsidR="00F05CFC" w:rsidRPr="00A81AFE">
        <w:rPr>
          <w:lang w:val="en-IE"/>
        </w:rPr>
        <w:t xml:space="preserve"> RAC concurred with the Agency’s conclusion that the use of lead in hunting, outdoor shooting and fishing </w:t>
      </w:r>
      <w:r w:rsidR="004B6AB0" w:rsidRPr="00A81AFE">
        <w:rPr>
          <w:lang w:val="en-IE"/>
        </w:rPr>
        <w:t>poses</w:t>
      </w:r>
      <w:r w:rsidR="00F05CFC" w:rsidRPr="00A81AFE">
        <w:rPr>
          <w:lang w:val="en-IE"/>
        </w:rPr>
        <w:t xml:space="preserve"> a wide range of risks to </w:t>
      </w:r>
      <w:r w:rsidR="00C51632" w:rsidRPr="00A81AFE">
        <w:rPr>
          <w:lang w:val="en-IE"/>
        </w:rPr>
        <w:t xml:space="preserve">both </w:t>
      </w:r>
      <w:r w:rsidR="00F05CFC" w:rsidRPr="00A81AFE">
        <w:rPr>
          <w:lang w:val="en-IE"/>
        </w:rPr>
        <w:t xml:space="preserve">human health and the environment. RAC concluded that the </w:t>
      </w:r>
      <w:r w:rsidR="00F05CFC" w:rsidRPr="00A81AFE">
        <w:t>restriction</w:t>
      </w:r>
      <w:r w:rsidR="00F05CFC" w:rsidRPr="00A81AFE">
        <w:rPr>
          <w:lang w:val="en-IE"/>
        </w:rPr>
        <w:t xml:space="preserve"> proposed by the Agency </w:t>
      </w:r>
      <w:r w:rsidR="004B6AB0" w:rsidRPr="00A81AFE">
        <w:rPr>
          <w:lang w:val="en-IE"/>
        </w:rPr>
        <w:t>would be</w:t>
      </w:r>
      <w:r w:rsidR="00F05CFC" w:rsidRPr="00A81AFE">
        <w:rPr>
          <w:lang w:val="en-IE"/>
        </w:rPr>
        <w:t xml:space="preserve"> the most appropriate Union-wide measure to address the identified risks.</w:t>
      </w:r>
    </w:p>
    <w:p w14:paraId="6B414158" w14:textId="77777777" w:rsidR="005C5218" w:rsidRPr="00A81AFE" w:rsidRDefault="005C5218" w:rsidP="005C5218">
      <w:pPr>
        <w:pStyle w:val="Considrant"/>
        <w:rPr>
          <w:lang w:val="en-IE"/>
        </w:rPr>
      </w:pPr>
      <w:r w:rsidRPr="00A81AFE">
        <w:rPr>
          <w:lang w:val="en-IE"/>
        </w:rPr>
        <w:t xml:space="preserve">RAC </w:t>
      </w:r>
      <w:r w:rsidR="00B54A79" w:rsidRPr="00A81AFE">
        <w:t>strongly supported a shorter</w:t>
      </w:r>
      <w:r w:rsidR="005B302F" w:rsidRPr="00A81AFE">
        <w:t xml:space="preserve"> </w:t>
      </w:r>
      <w:r w:rsidR="00B54A79" w:rsidRPr="00A81AFE">
        <w:t>transitional period than the five years proposed by the Agency</w:t>
      </w:r>
      <w:r w:rsidR="00B54A79" w:rsidRPr="00A81AFE" w:rsidDel="00B54A79">
        <w:t xml:space="preserve"> </w:t>
      </w:r>
      <w:r w:rsidRPr="00A81AFE">
        <w:rPr>
          <w:lang w:val="en-IE"/>
        </w:rPr>
        <w:t>for the restriction on the use of gunshot in hunting</w:t>
      </w:r>
      <w:r w:rsidR="00462CBD" w:rsidRPr="00A81AFE">
        <w:t xml:space="preserve">. The reason was </w:t>
      </w:r>
      <w:r w:rsidRPr="00A81AFE">
        <w:rPr>
          <w:lang w:val="en-IE"/>
        </w:rPr>
        <w:t xml:space="preserve">because the use of lead gunshot in wetlands is already regulated in the </w:t>
      </w:r>
      <w:r w:rsidRPr="00A81AFE">
        <w:t>U</w:t>
      </w:r>
      <w:r w:rsidR="003836E7" w:rsidRPr="00A81AFE">
        <w:t>nion</w:t>
      </w:r>
      <w:r w:rsidRPr="00A81AFE">
        <w:rPr>
          <w:lang w:val="en-IE"/>
        </w:rPr>
        <w:t xml:space="preserve"> as a whole and </w:t>
      </w:r>
      <w:r w:rsidR="00DA4344" w:rsidRPr="00A81AFE">
        <w:rPr>
          <w:lang w:val="en-IE"/>
        </w:rPr>
        <w:t>because</w:t>
      </w:r>
      <w:r w:rsidRPr="00A81AFE">
        <w:rPr>
          <w:lang w:val="en-IE"/>
        </w:rPr>
        <w:t xml:space="preserve"> the shorter the transition period is, the </w:t>
      </w:r>
      <w:r w:rsidR="00C51632" w:rsidRPr="00A81AFE">
        <w:rPr>
          <w:lang w:val="en-IE"/>
        </w:rPr>
        <w:t>less</w:t>
      </w:r>
      <w:r w:rsidRPr="00A81AFE">
        <w:rPr>
          <w:lang w:val="en-IE"/>
        </w:rPr>
        <w:t xml:space="preserve"> lead </w:t>
      </w:r>
      <w:r w:rsidR="00C51632" w:rsidRPr="00A81AFE">
        <w:rPr>
          <w:lang w:val="en-IE"/>
        </w:rPr>
        <w:t>is</w:t>
      </w:r>
      <w:r w:rsidRPr="00A81AFE">
        <w:rPr>
          <w:lang w:val="en-IE"/>
        </w:rPr>
        <w:t xml:space="preserve"> released into the environment.</w:t>
      </w:r>
    </w:p>
    <w:p w14:paraId="4174B3C5" w14:textId="77777777" w:rsidR="00863809" w:rsidRPr="00A81AFE" w:rsidRDefault="00C17884" w:rsidP="00C77854">
      <w:pPr>
        <w:pStyle w:val="Considrant"/>
        <w:rPr>
          <w:lang w:val="en-IE"/>
        </w:rPr>
      </w:pPr>
      <w:r w:rsidRPr="00A81AFE">
        <w:rPr>
          <w:lang w:val="en-IE"/>
        </w:rPr>
        <w:t xml:space="preserve">RAC </w:t>
      </w:r>
      <w:r w:rsidR="00931B87" w:rsidRPr="00A81AFE">
        <w:rPr>
          <w:lang w:val="en-IE"/>
        </w:rPr>
        <w:t xml:space="preserve">did not support the optional derogations for the placing on the market of lead gunshot and for the use of lead gunshot for sports shooting. </w:t>
      </w:r>
      <w:r w:rsidR="004B6AB0" w:rsidRPr="00A81AFE">
        <w:rPr>
          <w:lang w:val="en-IE"/>
        </w:rPr>
        <w:t>It</w:t>
      </w:r>
      <w:r w:rsidR="00E210D6" w:rsidRPr="00A81AFE">
        <w:rPr>
          <w:lang w:val="en-IE"/>
        </w:rPr>
        <w:t xml:space="preserve"> considered that the enforcement of the </w:t>
      </w:r>
      <w:r w:rsidR="00863809" w:rsidRPr="00A81AFE">
        <w:rPr>
          <w:lang w:val="en-IE"/>
        </w:rPr>
        <w:t xml:space="preserve">proposed </w:t>
      </w:r>
      <w:r w:rsidR="00E210D6" w:rsidRPr="00A81AFE">
        <w:rPr>
          <w:lang w:val="en-IE"/>
        </w:rPr>
        <w:t xml:space="preserve">restriction, as well as the restriction on lead in gunshot in or around wetlands introduced by Commission Regulation (EU) 2021/57, would be greatly simplified if those optional derogations </w:t>
      </w:r>
      <w:r w:rsidR="00CA59D2" w:rsidRPr="00A81AFE">
        <w:rPr>
          <w:lang w:val="en-IE"/>
        </w:rPr>
        <w:t>were</w:t>
      </w:r>
      <w:r w:rsidR="00E210D6" w:rsidRPr="00A81AFE">
        <w:rPr>
          <w:lang w:val="en-IE"/>
        </w:rPr>
        <w:t xml:space="preserve"> not i</w:t>
      </w:r>
      <w:r w:rsidR="003C13A5" w:rsidRPr="00A81AFE">
        <w:rPr>
          <w:lang w:val="en-IE"/>
        </w:rPr>
        <w:t>ntroduced</w:t>
      </w:r>
      <w:r w:rsidR="00E210D6" w:rsidRPr="00A81AFE">
        <w:rPr>
          <w:lang w:val="en-IE"/>
        </w:rPr>
        <w:t xml:space="preserve">. </w:t>
      </w:r>
      <w:r w:rsidR="00931B87" w:rsidRPr="00A81AFE">
        <w:rPr>
          <w:lang w:val="en-IE"/>
        </w:rPr>
        <w:t xml:space="preserve">However, should those derogations be granted, </w:t>
      </w:r>
      <w:r w:rsidR="00531A7F" w:rsidRPr="00A81AFE">
        <w:rPr>
          <w:lang w:val="en-IE"/>
        </w:rPr>
        <w:t>RAC</w:t>
      </w:r>
      <w:r w:rsidR="00531A7F" w:rsidRPr="00A81AFE">
        <w:t xml:space="preserve"> </w:t>
      </w:r>
      <w:r w:rsidR="000062FF" w:rsidRPr="00A81AFE">
        <w:t xml:space="preserve">indicated that they </w:t>
      </w:r>
      <w:r w:rsidR="00531A7F" w:rsidRPr="00A81AFE">
        <w:rPr>
          <w:lang w:val="en-IE"/>
        </w:rPr>
        <w:t>would</w:t>
      </w:r>
      <w:r w:rsidR="00931B87" w:rsidRPr="00A81AFE">
        <w:rPr>
          <w:lang w:val="en-IE"/>
        </w:rPr>
        <w:t xml:space="preserve"> </w:t>
      </w:r>
      <w:r w:rsidR="00030C05" w:rsidRPr="00A81AFE">
        <w:rPr>
          <w:lang w:val="en-IE"/>
        </w:rPr>
        <w:t xml:space="preserve">support </w:t>
      </w:r>
      <w:r w:rsidR="002566AE" w:rsidRPr="00A81AFE">
        <w:rPr>
          <w:lang w:val="en-IE"/>
        </w:rPr>
        <w:t xml:space="preserve">the suggestion </w:t>
      </w:r>
      <w:r w:rsidR="004B6AB0" w:rsidRPr="00A81AFE">
        <w:rPr>
          <w:lang w:val="en-IE"/>
        </w:rPr>
        <w:t xml:space="preserve">by </w:t>
      </w:r>
      <w:r w:rsidR="007411CB" w:rsidRPr="00A81AFE">
        <w:rPr>
          <w:lang w:val="en-IE"/>
        </w:rPr>
        <w:t>the</w:t>
      </w:r>
      <w:r w:rsidR="002566AE" w:rsidRPr="00A81AFE">
        <w:rPr>
          <w:lang w:val="en-IE"/>
        </w:rPr>
        <w:t xml:space="preserve"> Agency’s Committee for Socio-</w:t>
      </w:r>
      <w:r w:rsidR="00D050BD" w:rsidRPr="00A81AFE">
        <w:rPr>
          <w:lang w:val="en-IE"/>
        </w:rPr>
        <w:t>E</w:t>
      </w:r>
      <w:r w:rsidR="002566AE" w:rsidRPr="00A81AFE">
        <w:rPr>
          <w:lang w:val="en-IE"/>
        </w:rPr>
        <w:t>conomic Analysis (SEAC)</w:t>
      </w:r>
      <w:r w:rsidR="00030C05" w:rsidRPr="00A81AFE">
        <w:rPr>
          <w:lang w:val="en-IE"/>
        </w:rPr>
        <w:t xml:space="preserve"> </w:t>
      </w:r>
      <w:r w:rsidR="004B6AB0" w:rsidRPr="00A81AFE">
        <w:rPr>
          <w:lang w:val="en-IE"/>
        </w:rPr>
        <w:t xml:space="preserve">that </w:t>
      </w:r>
      <w:r w:rsidR="00931B87" w:rsidRPr="00A81AFE">
        <w:rPr>
          <w:lang w:val="en-IE"/>
        </w:rPr>
        <w:t xml:space="preserve">their scope </w:t>
      </w:r>
      <w:r w:rsidR="004B6AB0" w:rsidRPr="00A81AFE">
        <w:rPr>
          <w:lang w:val="en-IE"/>
        </w:rPr>
        <w:t xml:space="preserve">should be limited </w:t>
      </w:r>
      <w:r w:rsidR="00931B87" w:rsidRPr="00A81AFE">
        <w:rPr>
          <w:lang w:val="en-IE"/>
        </w:rPr>
        <w:t>to</w:t>
      </w:r>
      <w:r w:rsidRPr="00A81AFE">
        <w:rPr>
          <w:lang w:val="en-IE"/>
        </w:rPr>
        <w:t xml:space="preserve"> shot sizes between 1.9 and 2.6</w:t>
      </w:r>
      <w:r w:rsidR="00764390" w:rsidRPr="00A81AFE">
        <w:rPr>
          <w:lang w:val="en-IE"/>
        </w:rPr>
        <w:t> </w:t>
      </w:r>
      <w:r w:rsidRPr="00A81AFE">
        <w:rPr>
          <w:lang w:val="en-IE"/>
        </w:rPr>
        <w:t xml:space="preserve">mm. </w:t>
      </w:r>
    </w:p>
    <w:p w14:paraId="35216E80" w14:textId="77777777" w:rsidR="005C5218" w:rsidRPr="00A81AFE" w:rsidRDefault="005C5218" w:rsidP="005C5218">
      <w:pPr>
        <w:pStyle w:val="Considrant"/>
        <w:rPr>
          <w:lang w:val="en-IE"/>
        </w:rPr>
      </w:pPr>
      <w:r w:rsidRPr="00A81AFE">
        <w:rPr>
          <w:lang w:val="en-IE"/>
        </w:rPr>
        <w:t xml:space="preserve">RAC supported the derogation </w:t>
      </w:r>
      <w:r w:rsidR="004B6AB0" w:rsidRPr="00A81AFE">
        <w:rPr>
          <w:lang w:val="en-IE"/>
        </w:rPr>
        <w:t xml:space="preserve">that would </w:t>
      </w:r>
      <w:r w:rsidRPr="00A81AFE">
        <w:rPr>
          <w:lang w:val="en-IE"/>
        </w:rPr>
        <w:t xml:space="preserve">allow the use of copper or copper alloys </w:t>
      </w:r>
      <w:r w:rsidR="004B6AB0" w:rsidRPr="00A81AFE">
        <w:rPr>
          <w:lang w:val="en-IE"/>
        </w:rPr>
        <w:t xml:space="preserve">with a </w:t>
      </w:r>
      <w:r w:rsidRPr="00A81AFE">
        <w:rPr>
          <w:lang w:val="en-IE"/>
        </w:rPr>
        <w:t xml:space="preserve">lead </w:t>
      </w:r>
      <w:r w:rsidR="004B6AB0" w:rsidRPr="00A81AFE">
        <w:rPr>
          <w:lang w:val="en-IE"/>
        </w:rPr>
        <w:t xml:space="preserve">content of </w:t>
      </w:r>
      <w:r w:rsidRPr="00A81AFE">
        <w:rPr>
          <w:lang w:val="en-IE"/>
        </w:rPr>
        <w:t xml:space="preserve">up to 3% </w:t>
      </w:r>
      <w:r w:rsidR="00B32794" w:rsidRPr="00A81AFE">
        <w:t xml:space="preserve">by weight </w:t>
      </w:r>
      <w:r w:rsidRPr="00A81AFE">
        <w:rPr>
          <w:lang w:val="en-IE"/>
        </w:rPr>
        <w:t xml:space="preserve">in </w:t>
      </w:r>
      <w:r w:rsidR="003D025E" w:rsidRPr="00A81AFE">
        <w:rPr>
          <w:lang w:val="en-IE"/>
        </w:rPr>
        <w:t>projectiles other than gunshot</w:t>
      </w:r>
      <w:r w:rsidRPr="00A81AFE">
        <w:rPr>
          <w:lang w:val="en-IE"/>
        </w:rPr>
        <w:t xml:space="preserve"> and, prior to the </w:t>
      </w:r>
      <w:r w:rsidR="005B302F" w:rsidRPr="00A81AFE">
        <w:rPr>
          <w:lang w:val="en-IE"/>
        </w:rPr>
        <w:t>entry into force</w:t>
      </w:r>
      <w:r w:rsidR="00487A3F" w:rsidRPr="00A81AFE">
        <w:t xml:space="preserve"> </w:t>
      </w:r>
      <w:r w:rsidRPr="00A81AFE">
        <w:rPr>
          <w:lang w:val="en-IE"/>
        </w:rPr>
        <w:t xml:space="preserve">of the restriction, a review of whether such </w:t>
      </w:r>
      <w:r w:rsidR="00126316" w:rsidRPr="00A81AFE">
        <w:rPr>
          <w:lang w:val="en-IE"/>
        </w:rPr>
        <w:t xml:space="preserve">a </w:t>
      </w:r>
      <w:r w:rsidRPr="00A81AFE">
        <w:rPr>
          <w:lang w:val="en-IE"/>
        </w:rPr>
        <w:t xml:space="preserve">derogation is necessary. </w:t>
      </w:r>
      <w:r w:rsidR="00126316" w:rsidRPr="00A81AFE">
        <w:rPr>
          <w:lang w:val="en-IE"/>
        </w:rPr>
        <w:t>It</w:t>
      </w:r>
      <w:r w:rsidRPr="00A81AFE">
        <w:rPr>
          <w:lang w:val="en-IE"/>
        </w:rPr>
        <w:t xml:space="preserve"> noted that, should the derogation be retained, then the labelling and information requirements should be applied to </w:t>
      </w:r>
      <w:r w:rsidR="00A65C3A" w:rsidRPr="00A81AFE">
        <w:rPr>
          <w:lang w:val="en-IE"/>
        </w:rPr>
        <w:t xml:space="preserve">copper and copper alloy </w:t>
      </w:r>
      <w:r w:rsidRPr="00A81AFE">
        <w:rPr>
          <w:lang w:val="en-IE"/>
        </w:rPr>
        <w:t xml:space="preserve">ammunition only when the lead content </w:t>
      </w:r>
      <w:r w:rsidR="00A65C3A" w:rsidRPr="00A81AFE">
        <w:rPr>
          <w:lang w:val="en-IE"/>
        </w:rPr>
        <w:t xml:space="preserve">of the copper and copper alloy </w:t>
      </w:r>
      <w:r w:rsidRPr="00A81AFE">
        <w:rPr>
          <w:lang w:val="en-IE"/>
        </w:rPr>
        <w:t xml:space="preserve">is </w:t>
      </w:r>
      <w:r w:rsidR="00AD6A35" w:rsidRPr="00A81AFE">
        <w:rPr>
          <w:lang w:val="en-IE"/>
        </w:rPr>
        <w:t>equal or greater than</w:t>
      </w:r>
      <w:r w:rsidRPr="00A81AFE">
        <w:rPr>
          <w:lang w:val="en-IE"/>
        </w:rPr>
        <w:t xml:space="preserve"> 3% </w:t>
      </w:r>
      <w:r w:rsidR="00626E11" w:rsidRPr="00A81AFE">
        <w:t>by weight</w:t>
      </w:r>
      <w:r w:rsidRPr="00A81AFE">
        <w:rPr>
          <w:lang w:val="en-IE"/>
        </w:rPr>
        <w:t>.</w:t>
      </w:r>
    </w:p>
    <w:p w14:paraId="5E98E77C" w14:textId="77777777" w:rsidR="005C5218" w:rsidRPr="00A81AFE" w:rsidRDefault="005C5218" w:rsidP="004F7F83">
      <w:pPr>
        <w:pStyle w:val="Considrant"/>
        <w:rPr>
          <w:lang w:val="en-IE"/>
        </w:rPr>
      </w:pPr>
      <w:r w:rsidRPr="00A81AFE">
        <w:rPr>
          <w:lang w:val="en-IE"/>
        </w:rPr>
        <w:t xml:space="preserve">RAC </w:t>
      </w:r>
      <w:r w:rsidR="00B42C38" w:rsidRPr="00A81AFE">
        <w:rPr>
          <w:lang w:val="en-IE"/>
        </w:rPr>
        <w:t xml:space="preserve">considered </w:t>
      </w:r>
      <w:r w:rsidRPr="00A81AFE">
        <w:rPr>
          <w:lang w:val="en-IE"/>
        </w:rPr>
        <w:t>that the proposed derogations for the use of bullets for seal hunting and of full</w:t>
      </w:r>
      <w:r w:rsidR="00ED7300" w:rsidRPr="00A81AFE">
        <w:rPr>
          <w:lang w:val="en-IE"/>
        </w:rPr>
        <w:t xml:space="preserve"> </w:t>
      </w:r>
      <w:r w:rsidRPr="00A81AFE">
        <w:rPr>
          <w:lang w:val="en-IE"/>
        </w:rPr>
        <w:t>metal</w:t>
      </w:r>
      <w:r w:rsidR="00ED7300" w:rsidRPr="00A81AFE">
        <w:rPr>
          <w:lang w:val="en-IE"/>
        </w:rPr>
        <w:t xml:space="preserve"> </w:t>
      </w:r>
      <w:r w:rsidRPr="00A81AFE">
        <w:rPr>
          <w:lang w:val="en-IE"/>
        </w:rPr>
        <w:t xml:space="preserve">jacket bullets </w:t>
      </w:r>
      <w:r w:rsidR="004B6AB0" w:rsidRPr="00A81AFE">
        <w:rPr>
          <w:lang w:val="en-IE"/>
        </w:rPr>
        <w:t xml:space="preserve">would </w:t>
      </w:r>
      <w:r w:rsidRPr="00A81AFE">
        <w:rPr>
          <w:lang w:val="en-IE"/>
        </w:rPr>
        <w:t xml:space="preserve">not compromise the effectiveness of the restriction. </w:t>
      </w:r>
      <w:r w:rsidR="004B6AB0" w:rsidRPr="00A81AFE">
        <w:rPr>
          <w:lang w:val="en-IE"/>
        </w:rPr>
        <w:t xml:space="preserve">The Agency had not proposed </w:t>
      </w:r>
      <w:r w:rsidRPr="00A81AFE">
        <w:rPr>
          <w:lang w:val="en-IE"/>
        </w:rPr>
        <w:t xml:space="preserve">derogations for muzzle loaders and airguns for hunting, </w:t>
      </w:r>
      <w:r w:rsidR="004B6AB0" w:rsidRPr="00A81AFE">
        <w:rPr>
          <w:lang w:val="en-IE"/>
        </w:rPr>
        <w:t xml:space="preserve">but </w:t>
      </w:r>
      <w:r w:rsidRPr="00A81AFE">
        <w:rPr>
          <w:lang w:val="en-IE"/>
        </w:rPr>
        <w:t xml:space="preserve">RAC recognised that the use of both muzzle loaders and airguns in hunting is limited in volume and </w:t>
      </w:r>
      <w:r w:rsidR="004B6AB0" w:rsidRPr="00A81AFE">
        <w:rPr>
          <w:lang w:val="en-IE"/>
        </w:rPr>
        <w:t>that</w:t>
      </w:r>
      <w:r w:rsidRPr="00A81AFE">
        <w:rPr>
          <w:lang w:val="en-IE"/>
        </w:rPr>
        <w:t xml:space="preserve"> their impact on overall risk reduction is </w:t>
      </w:r>
      <w:r w:rsidR="004B6AB0" w:rsidRPr="00A81AFE">
        <w:rPr>
          <w:lang w:val="en-IE"/>
        </w:rPr>
        <w:t xml:space="preserve">therefore </w:t>
      </w:r>
      <w:r w:rsidRPr="00A81AFE">
        <w:rPr>
          <w:lang w:val="en-IE"/>
        </w:rPr>
        <w:t>low.</w:t>
      </w:r>
      <w:r w:rsidR="004F7F83" w:rsidRPr="00A81AFE">
        <w:rPr>
          <w:lang w:val="en-IE"/>
        </w:rPr>
        <w:t xml:space="preserve"> RAC did not support a derogation for split shot weighing 0</w:t>
      </w:r>
      <w:r w:rsidR="00292971" w:rsidRPr="00A81AFE">
        <w:rPr>
          <w:lang w:val="en-IE"/>
        </w:rPr>
        <w:t>.</w:t>
      </w:r>
      <w:r w:rsidR="004F7F83" w:rsidRPr="00A81AFE">
        <w:rPr>
          <w:lang w:val="en-IE"/>
        </w:rPr>
        <w:t>06</w:t>
      </w:r>
      <w:r w:rsidR="004B6AB0" w:rsidRPr="00A81AFE">
        <w:rPr>
          <w:rFonts w:eastAsia="Times New Roman"/>
          <w:szCs w:val="24"/>
          <w:lang w:val="en-IE"/>
        </w:rPr>
        <w:t> </w:t>
      </w:r>
      <w:r w:rsidR="00764390" w:rsidRPr="00A81AFE">
        <w:rPr>
          <w:lang w:val="en-IE"/>
        </w:rPr>
        <w:t>g</w:t>
      </w:r>
      <w:r w:rsidR="00611399" w:rsidRPr="00A81AFE">
        <w:rPr>
          <w:lang w:val="en-IE"/>
        </w:rPr>
        <w:t xml:space="preserve"> or less</w:t>
      </w:r>
      <w:r w:rsidR="004F7F83" w:rsidRPr="00A81AFE">
        <w:rPr>
          <w:lang w:val="en-IE"/>
        </w:rPr>
        <w:t xml:space="preserve">, </w:t>
      </w:r>
      <w:r w:rsidR="00BE39F5" w:rsidRPr="00A81AFE">
        <w:rPr>
          <w:lang w:val="en-IE"/>
        </w:rPr>
        <w:t xml:space="preserve">even </w:t>
      </w:r>
      <w:r w:rsidR="00853AD9" w:rsidRPr="00A81AFE">
        <w:rPr>
          <w:lang w:val="en-IE"/>
        </w:rPr>
        <w:t>if</w:t>
      </w:r>
      <w:r w:rsidR="00BE39F5" w:rsidRPr="00A81AFE">
        <w:rPr>
          <w:lang w:val="en-IE"/>
        </w:rPr>
        <w:t xml:space="preserve"> placed on the market in spill</w:t>
      </w:r>
      <w:r w:rsidR="00292971" w:rsidRPr="00A81AFE">
        <w:rPr>
          <w:lang w:val="en-IE"/>
        </w:rPr>
        <w:t>-</w:t>
      </w:r>
      <w:r w:rsidR="00BE39F5" w:rsidRPr="00A81AFE">
        <w:rPr>
          <w:lang w:val="en-IE"/>
        </w:rPr>
        <w:t>proof and child</w:t>
      </w:r>
      <w:r w:rsidR="00292971" w:rsidRPr="00A81AFE">
        <w:rPr>
          <w:lang w:val="en-IE"/>
        </w:rPr>
        <w:t>-</w:t>
      </w:r>
      <w:r w:rsidR="00BE39F5" w:rsidRPr="00A81AFE">
        <w:rPr>
          <w:lang w:val="en-IE"/>
        </w:rPr>
        <w:t xml:space="preserve">resistant packaging, </w:t>
      </w:r>
      <w:r w:rsidR="004B6AB0" w:rsidRPr="00A81AFE">
        <w:rPr>
          <w:lang w:val="en-IE"/>
        </w:rPr>
        <w:t>because this</w:t>
      </w:r>
      <w:r w:rsidR="004F7F83" w:rsidRPr="00A81AFE">
        <w:rPr>
          <w:lang w:val="en-IE"/>
        </w:rPr>
        <w:t xml:space="preserve"> would decrease the </w:t>
      </w:r>
      <w:r w:rsidR="00292971" w:rsidRPr="00A81AFE">
        <w:rPr>
          <w:lang w:val="en-IE"/>
        </w:rPr>
        <w:t>level of</w:t>
      </w:r>
      <w:r w:rsidR="004F7F83" w:rsidRPr="00A81AFE">
        <w:rPr>
          <w:lang w:val="en-IE"/>
        </w:rPr>
        <w:t xml:space="preserve"> environmental protection </w:t>
      </w:r>
      <w:r w:rsidR="004B6AB0" w:rsidRPr="00A81AFE">
        <w:rPr>
          <w:lang w:val="en-IE"/>
        </w:rPr>
        <w:t xml:space="preserve">provided by </w:t>
      </w:r>
      <w:r w:rsidR="004F7F83" w:rsidRPr="00A81AFE">
        <w:rPr>
          <w:lang w:val="en-IE"/>
        </w:rPr>
        <w:t>the restriction.</w:t>
      </w:r>
    </w:p>
    <w:p w14:paraId="2AF568B9" w14:textId="77777777" w:rsidR="000E73BF" w:rsidRPr="00A81AFE" w:rsidRDefault="00863809" w:rsidP="002F2973">
      <w:pPr>
        <w:pStyle w:val="Considrant"/>
        <w:rPr>
          <w:lang w:val="en-IE"/>
        </w:rPr>
      </w:pPr>
      <w:r w:rsidRPr="00A81AFE">
        <w:rPr>
          <w:lang w:val="en-IE"/>
        </w:rPr>
        <w:t xml:space="preserve">RAC supported the labelling and information requirements proposed by the Agency for lead ammunition and fishing tackle. However, RAC recommended </w:t>
      </w:r>
      <w:r w:rsidR="005C3242" w:rsidRPr="00A81AFE">
        <w:rPr>
          <w:lang w:val="en-IE"/>
        </w:rPr>
        <w:t xml:space="preserve">avoiding confusion by </w:t>
      </w:r>
      <w:r w:rsidR="00292971" w:rsidRPr="00A81AFE">
        <w:rPr>
          <w:lang w:val="en-IE"/>
        </w:rPr>
        <w:t xml:space="preserve">increasing </w:t>
      </w:r>
      <w:r w:rsidRPr="00A81AFE">
        <w:rPr>
          <w:lang w:val="en-IE"/>
        </w:rPr>
        <w:t>the lead</w:t>
      </w:r>
      <w:r w:rsidR="005C3242" w:rsidRPr="00A81AFE">
        <w:rPr>
          <w:lang w:val="en-IE"/>
        </w:rPr>
        <w:t xml:space="preserve"> </w:t>
      </w:r>
      <w:r w:rsidRPr="00A81AFE">
        <w:rPr>
          <w:lang w:val="en-IE"/>
        </w:rPr>
        <w:t xml:space="preserve">concentration limit that </w:t>
      </w:r>
      <w:r w:rsidR="005C3242" w:rsidRPr="00A81AFE">
        <w:rPr>
          <w:lang w:val="en-IE"/>
        </w:rPr>
        <w:t xml:space="preserve">would </w:t>
      </w:r>
      <w:r w:rsidRPr="00A81AFE">
        <w:rPr>
          <w:lang w:val="en-IE"/>
        </w:rPr>
        <w:t>trigger the requirements from 0.3% to 1%</w:t>
      </w:r>
      <w:r w:rsidR="005C3242" w:rsidRPr="00A81AFE">
        <w:rPr>
          <w:lang w:val="en-IE"/>
        </w:rPr>
        <w:t> </w:t>
      </w:r>
      <w:r w:rsidR="00066C0D" w:rsidRPr="00A81AFE">
        <w:t>by weight</w:t>
      </w:r>
      <w:r w:rsidRPr="00A81AFE">
        <w:t>,</w:t>
      </w:r>
      <w:r w:rsidRPr="00A81AFE">
        <w:rPr>
          <w:lang w:val="en-IE"/>
        </w:rPr>
        <w:t xml:space="preserve"> </w:t>
      </w:r>
      <w:r w:rsidR="00ED7300" w:rsidRPr="00A81AFE">
        <w:rPr>
          <w:lang w:val="en-IE"/>
        </w:rPr>
        <w:t xml:space="preserve">so as </w:t>
      </w:r>
      <w:r w:rsidRPr="00A81AFE">
        <w:rPr>
          <w:lang w:val="en-IE"/>
        </w:rPr>
        <w:t xml:space="preserve">to align it with the concentration limit </w:t>
      </w:r>
      <w:r w:rsidR="003E4B68" w:rsidRPr="00A81AFE">
        <w:rPr>
          <w:lang w:val="en-IE"/>
        </w:rPr>
        <w:t xml:space="preserve">that </w:t>
      </w:r>
      <w:r w:rsidRPr="00A81AFE">
        <w:rPr>
          <w:lang w:val="en-IE"/>
        </w:rPr>
        <w:t>trigger</w:t>
      </w:r>
      <w:r w:rsidR="003E4B68" w:rsidRPr="00A81AFE">
        <w:rPr>
          <w:lang w:val="en-IE"/>
        </w:rPr>
        <w:t>s</w:t>
      </w:r>
      <w:r w:rsidRPr="00A81AFE">
        <w:rPr>
          <w:lang w:val="en-IE"/>
        </w:rPr>
        <w:t xml:space="preserve"> the ban on placing on the market and use.</w:t>
      </w:r>
    </w:p>
    <w:p w14:paraId="23BF5188" w14:textId="77777777" w:rsidR="00486552" w:rsidRPr="00A81AFE" w:rsidRDefault="00486552" w:rsidP="00E02574">
      <w:pPr>
        <w:pStyle w:val="Considrant"/>
        <w:rPr>
          <w:lang w:val="en-IE"/>
        </w:rPr>
      </w:pPr>
      <w:r w:rsidRPr="00A81AFE">
        <w:rPr>
          <w:lang w:val="en-IE"/>
        </w:rPr>
        <w:t>On 1</w:t>
      </w:r>
      <w:r w:rsidR="00764390" w:rsidRPr="00A81AFE">
        <w:rPr>
          <w:lang w:val="en-IE"/>
        </w:rPr>
        <w:t> </w:t>
      </w:r>
      <w:r w:rsidRPr="00A81AFE">
        <w:rPr>
          <w:lang w:val="en-IE"/>
        </w:rPr>
        <w:t>December</w:t>
      </w:r>
      <w:r w:rsidR="00764390" w:rsidRPr="00A81AFE">
        <w:rPr>
          <w:lang w:val="en-IE"/>
        </w:rPr>
        <w:t> </w:t>
      </w:r>
      <w:r w:rsidRPr="00A81AFE">
        <w:rPr>
          <w:lang w:val="en-IE"/>
        </w:rPr>
        <w:t>2022, RAC adopted a supplementary opinion</w:t>
      </w:r>
      <w:r w:rsidR="005C3242" w:rsidRPr="00A81AFE">
        <w:rPr>
          <w:lang w:val="en-IE"/>
        </w:rPr>
        <w:t>,</w:t>
      </w:r>
      <w:r w:rsidRPr="00A81AFE">
        <w:rPr>
          <w:lang w:val="en-IE"/>
        </w:rPr>
        <w:t xml:space="preserve"> at the request of </w:t>
      </w:r>
      <w:r w:rsidR="00724912" w:rsidRPr="00A81AFE">
        <w:rPr>
          <w:lang w:val="en-IE"/>
        </w:rPr>
        <w:t>the Agency’s</w:t>
      </w:r>
      <w:r w:rsidRPr="00A81AFE">
        <w:rPr>
          <w:lang w:val="en-IE"/>
        </w:rPr>
        <w:t xml:space="preserve"> Executive Director</w:t>
      </w:r>
      <w:r w:rsidR="005C3242" w:rsidRPr="00A81AFE">
        <w:rPr>
          <w:lang w:val="en-IE"/>
        </w:rPr>
        <w:t xml:space="preserve"> and</w:t>
      </w:r>
      <w:r w:rsidRPr="00A81AFE">
        <w:rPr>
          <w:lang w:val="en-IE"/>
        </w:rPr>
        <w:t xml:space="preserve"> in accordance with Article</w:t>
      </w:r>
      <w:r w:rsidR="004A769C" w:rsidRPr="00A81AFE">
        <w:rPr>
          <w:lang w:val="en-IE"/>
        </w:rPr>
        <w:t> </w:t>
      </w:r>
      <w:r w:rsidRPr="00A81AFE">
        <w:rPr>
          <w:lang w:val="en-IE"/>
        </w:rPr>
        <w:t>77(3</w:t>
      </w:r>
      <w:r w:rsidRPr="00A81AFE">
        <w:t>)</w:t>
      </w:r>
      <w:r w:rsidR="00036084" w:rsidRPr="00A81AFE">
        <w:t>, point</w:t>
      </w:r>
      <w:r w:rsidR="005B4EC3" w:rsidRPr="00A81AFE">
        <w:t xml:space="preserve"> </w:t>
      </w:r>
      <w:r w:rsidRPr="00A81AFE">
        <w:t>(</w:t>
      </w:r>
      <w:r w:rsidRPr="00A81AFE">
        <w:rPr>
          <w:lang w:val="en-IE"/>
        </w:rPr>
        <w:t>c</w:t>
      </w:r>
      <w:r w:rsidRPr="00A81AFE">
        <w:t>)</w:t>
      </w:r>
      <w:r w:rsidR="005B4EC3" w:rsidRPr="00A81AFE">
        <w:t>,</w:t>
      </w:r>
      <w:r w:rsidRPr="00A81AFE">
        <w:rPr>
          <w:lang w:val="en-IE"/>
        </w:rPr>
        <w:t xml:space="preserve"> of Regulation (EC) No</w:t>
      </w:r>
      <w:r w:rsidR="006462D9" w:rsidRPr="00A81AFE">
        <w:rPr>
          <w:lang w:val="en-IE"/>
        </w:rPr>
        <w:t> </w:t>
      </w:r>
      <w:r w:rsidRPr="00A81AFE">
        <w:rPr>
          <w:lang w:val="en-IE"/>
        </w:rPr>
        <w:t>1907/2006</w:t>
      </w:r>
      <w:r w:rsidR="005D2726" w:rsidRPr="00A81AFE">
        <w:rPr>
          <w:lang w:val="en-IE"/>
        </w:rPr>
        <w:t> </w:t>
      </w:r>
      <w:r w:rsidR="00826C64" w:rsidRPr="00A81AFE">
        <w:rPr>
          <w:rStyle w:val="Allmrkuseviide"/>
          <w:lang w:val="en-IE"/>
        </w:rPr>
        <w:footnoteReference w:id="10"/>
      </w:r>
      <w:r w:rsidRPr="00A81AFE">
        <w:rPr>
          <w:lang w:val="en-IE"/>
        </w:rPr>
        <w:t>. Th</w:t>
      </w:r>
      <w:r w:rsidR="005C3242" w:rsidRPr="00A81AFE">
        <w:rPr>
          <w:lang w:val="en-IE"/>
        </w:rPr>
        <w:t>is</w:t>
      </w:r>
      <w:r w:rsidRPr="00A81AFE">
        <w:rPr>
          <w:lang w:val="en-IE"/>
        </w:rPr>
        <w:t xml:space="preserve"> opinion reassessed</w:t>
      </w:r>
      <w:r w:rsidR="00292971" w:rsidRPr="00A81AFE">
        <w:rPr>
          <w:lang w:val="en-IE"/>
        </w:rPr>
        <w:t xml:space="preserve"> </w:t>
      </w:r>
      <w:r w:rsidRPr="00A81AFE">
        <w:rPr>
          <w:lang w:val="en-IE"/>
        </w:rPr>
        <w:t xml:space="preserve">RAC’s evaluation of a specific dataset concerning the presence of lead in game meat and the human intake of game meat provided by the European Food Safety Authority. RAC reiterated its </w:t>
      </w:r>
      <w:r w:rsidRPr="00A81AFE">
        <w:rPr>
          <w:lang w:val="en-IE"/>
        </w:rPr>
        <w:lastRenderedPageBreak/>
        <w:t xml:space="preserve">conclusion that there is a moderate to high risk from </w:t>
      </w:r>
      <w:r w:rsidR="005D5EEF" w:rsidRPr="00A81AFE">
        <w:rPr>
          <w:lang w:val="en-IE"/>
        </w:rPr>
        <w:t xml:space="preserve">exposure to lead in </w:t>
      </w:r>
      <w:r w:rsidRPr="00A81AFE">
        <w:rPr>
          <w:lang w:val="en-IE"/>
        </w:rPr>
        <w:t>game</w:t>
      </w:r>
      <w:r w:rsidR="005C3242" w:rsidRPr="00A81AFE">
        <w:rPr>
          <w:lang w:val="en-IE"/>
        </w:rPr>
        <w:t xml:space="preserve"> </w:t>
      </w:r>
      <w:r w:rsidRPr="00A81AFE">
        <w:rPr>
          <w:lang w:val="en-IE"/>
        </w:rPr>
        <w:t xml:space="preserve">meat for children in hunter families </w:t>
      </w:r>
      <w:r w:rsidR="005C3242" w:rsidRPr="00A81AFE">
        <w:rPr>
          <w:lang w:val="en-IE"/>
        </w:rPr>
        <w:t xml:space="preserve">but </w:t>
      </w:r>
      <w:r w:rsidRPr="00A81AFE">
        <w:rPr>
          <w:lang w:val="en-IE"/>
        </w:rPr>
        <w:t>that risks for adults are likely to be low.</w:t>
      </w:r>
    </w:p>
    <w:p w14:paraId="7DA79D74" w14:textId="77777777" w:rsidR="00B04977" w:rsidRPr="00A81AFE" w:rsidRDefault="00F05CFC" w:rsidP="00B04977">
      <w:pPr>
        <w:pStyle w:val="Considrant"/>
        <w:rPr>
          <w:lang w:val="en-IE"/>
        </w:rPr>
      </w:pPr>
      <w:r w:rsidRPr="00A81AFE">
        <w:rPr>
          <w:lang w:val="en-IE"/>
        </w:rPr>
        <w:t>On 2</w:t>
      </w:r>
      <w:r w:rsidR="00764390" w:rsidRPr="00A81AFE">
        <w:rPr>
          <w:lang w:val="en-IE"/>
        </w:rPr>
        <w:t> </w:t>
      </w:r>
      <w:r w:rsidRPr="00A81AFE">
        <w:rPr>
          <w:lang w:val="en-IE"/>
        </w:rPr>
        <w:t>December</w:t>
      </w:r>
      <w:r w:rsidR="00764390" w:rsidRPr="00A81AFE">
        <w:rPr>
          <w:lang w:val="en-IE"/>
        </w:rPr>
        <w:t> </w:t>
      </w:r>
      <w:r w:rsidRPr="00A81AFE">
        <w:rPr>
          <w:lang w:val="en-IE"/>
        </w:rPr>
        <w:t>2022, SEAC adopted an opinion pursuant to Article</w:t>
      </w:r>
      <w:r w:rsidR="004A769C" w:rsidRPr="00A81AFE">
        <w:rPr>
          <w:lang w:val="en-IE"/>
        </w:rPr>
        <w:t> </w:t>
      </w:r>
      <w:r w:rsidRPr="00A81AFE">
        <w:rPr>
          <w:lang w:val="en-IE"/>
        </w:rPr>
        <w:t>71(1) of Regulation (EC) No</w:t>
      </w:r>
      <w:r w:rsidR="006462D9" w:rsidRPr="00A81AFE">
        <w:rPr>
          <w:lang w:val="en-IE"/>
        </w:rPr>
        <w:t> </w:t>
      </w:r>
      <w:r w:rsidRPr="00A81AFE">
        <w:rPr>
          <w:lang w:val="en-IE"/>
        </w:rPr>
        <w:t>1907/2006</w:t>
      </w:r>
      <w:r w:rsidR="003E4B68" w:rsidRPr="00A81AFE">
        <w:rPr>
          <w:lang w:val="en-IE"/>
        </w:rPr>
        <w:t>. It</w:t>
      </w:r>
      <w:r w:rsidRPr="00A81AFE">
        <w:rPr>
          <w:lang w:val="en-IE"/>
        </w:rPr>
        <w:t xml:space="preserve"> conclud</w:t>
      </w:r>
      <w:r w:rsidR="003E4B68" w:rsidRPr="00A81AFE">
        <w:rPr>
          <w:lang w:val="en-IE"/>
        </w:rPr>
        <w:t>ed</w:t>
      </w:r>
      <w:r w:rsidRPr="00A81AFE">
        <w:rPr>
          <w:lang w:val="en-IE"/>
        </w:rPr>
        <w:t xml:space="preserve"> that the proposed restriction </w:t>
      </w:r>
      <w:r w:rsidR="00520DE4" w:rsidRPr="00A81AFE">
        <w:rPr>
          <w:lang w:val="en-IE"/>
        </w:rPr>
        <w:t>would be</w:t>
      </w:r>
      <w:r w:rsidRPr="00A81AFE">
        <w:rPr>
          <w:lang w:val="en-IE"/>
        </w:rPr>
        <w:t xml:space="preserve"> the most appropriate Union-wide measure </w:t>
      </w:r>
      <w:r w:rsidR="00FD24FC" w:rsidRPr="00A81AFE">
        <w:rPr>
          <w:lang w:val="en-IE"/>
        </w:rPr>
        <w:t>to address the identified risks</w:t>
      </w:r>
      <w:r w:rsidR="007A5F58" w:rsidRPr="00A81AFE">
        <w:rPr>
          <w:lang w:val="en-IE"/>
        </w:rPr>
        <w:t xml:space="preserve"> </w:t>
      </w:r>
      <w:r w:rsidR="00FD24FC" w:rsidRPr="00A81AFE">
        <w:rPr>
          <w:lang w:val="en-IE"/>
        </w:rPr>
        <w:t>as</w:t>
      </w:r>
      <w:r w:rsidR="00520DE4" w:rsidRPr="00A81AFE">
        <w:rPr>
          <w:lang w:val="en-IE"/>
        </w:rPr>
        <w:t xml:space="preserve"> </w:t>
      </w:r>
      <w:r w:rsidR="00FD24FC" w:rsidRPr="00A81AFE">
        <w:rPr>
          <w:lang w:val="en-IE"/>
        </w:rPr>
        <w:t>concluded</w:t>
      </w:r>
      <w:r w:rsidR="007A5F58" w:rsidRPr="00A81AFE">
        <w:rPr>
          <w:lang w:val="en-IE"/>
        </w:rPr>
        <w:t xml:space="preserve"> by RAC</w:t>
      </w:r>
      <w:r w:rsidR="00FD24FC" w:rsidRPr="00A81AFE">
        <w:rPr>
          <w:lang w:val="en-IE"/>
        </w:rPr>
        <w:t xml:space="preserve">, </w:t>
      </w:r>
      <w:r w:rsidR="007A5F58" w:rsidRPr="00A81AFE">
        <w:rPr>
          <w:lang w:val="en-IE"/>
        </w:rPr>
        <w:t xml:space="preserve">provided that the conditions are modified as proposed by SEAC. This </w:t>
      </w:r>
      <w:r w:rsidR="00FD24FC" w:rsidRPr="00A81AFE">
        <w:rPr>
          <w:lang w:val="en-IE"/>
        </w:rPr>
        <w:t>tak</w:t>
      </w:r>
      <w:r w:rsidR="007A5F58" w:rsidRPr="00A81AFE">
        <w:rPr>
          <w:lang w:val="en-IE"/>
        </w:rPr>
        <w:t>es</w:t>
      </w:r>
      <w:r w:rsidR="00FD24FC" w:rsidRPr="00A81AFE">
        <w:rPr>
          <w:lang w:val="en-IE"/>
        </w:rPr>
        <w:t xml:space="preserve"> into account </w:t>
      </w:r>
      <w:r w:rsidR="00942FDC" w:rsidRPr="00A81AFE">
        <w:rPr>
          <w:lang w:val="en-IE"/>
        </w:rPr>
        <w:t>the proportionality of</w:t>
      </w:r>
      <w:r w:rsidR="00FD24FC" w:rsidRPr="00A81AFE">
        <w:rPr>
          <w:lang w:val="en-IE"/>
        </w:rPr>
        <w:t xml:space="preserve"> </w:t>
      </w:r>
      <w:r w:rsidR="00520DE4" w:rsidRPr="00A81AFE">
        <w:rPr>
          <w:lang w:val="en-IE"/>
        </w:rPr>
        <w:t xml:space="preserve">the </w:t>
      </w:r>
      <w:r w:rsidR="00FD24FC" w:rsidRPr="00A81AFE">
        <w:rPr>
          <w:lang w:val="en-IE"/>
        </w:rPr>
        <w:t xml:space="preserve">socio-economic benefits of the measure to </w:t>
      </w:r>
      <w:r w:rsidR="00942FDC" w:rsidRPr="00A81AFE">
        <w:rPr>
          <w:lang w:val="en-IE"/>
        </w:rPr>
        <w:t>its</w:t>
      </w:r>
      <w:r w:rsidR="00FD24FC" w:rsidRPr="00A81AFE">
        <w:rPr>
          <w:lang w:val="en-IE"/>
        </w:rPr>
        <w:t xml:space="preserve"> socio-economic costs. </w:t>
      </w:r>
    </w:p>
    <w:p w14:paraId="22505D2F" w14:textId="77777777" w:rsidR="005C5218" w:rsidRPr="00A81AFE" w:rsidRDefault="005C5218" w:rsidP="005C5218">
      <w:pPr>
        <w:pStyle w:val="Considrant"/>
        <w:rPr>
          <w:lang w:val="en-IE"/>
        </w:rPr>
      </w:pPr>
      <w:r w:rsidRPr="00A81AFE">
        <w:rPr>
          <w:lang w:val="en-IE"/>
        </w:rPr>
        <w:t xml:space="preserve">SEAC supported RAC’s view that, for the restriction on the use of lead gunshot in hunting, a transition period </w:t>
      </w:r>
      <w:r w:rsidR="00F87D3B" w:rsidRPr="00A81AFE">
        <w:rPr>
          <w:lang w:val="en-IE"/>
        </w:rPr>
        <w:t xml:space="preserve">significantly shorter </w:t>
      </w:r>
      <w:r w:rsidRPr="00A81AFE">
        <w:rPr>
          <w:lang w:val="en-IE"/>
        </w:rPr>
        <w:t>tha</w:t>
      </w:r>
      <w:r w:rsidR="00611399" w:rsidRPr="00A81AFE">
        <w:rPr>
          <w:lang w:val="en-IE"/>
        </w:rPr>
        <w:t>n</w:t>
      </w:r>
      <w:r w:rsidRPr="00A81AFE">
        <w:rPr>
          <w:lang w:val="en-IE"/>
        </w:rPr>
        <w:t xml:space="preserve"> the </w:t>
      </w:r>
      <w:r w:rsidR="00026288" w:rsidRPr="00A81AFE">
        <w:t>five</w:t>
      </w:r>
      <w:r w:rsidR="00AF025B" w:rsidRPr="00A81AFE">
        <w:rPr>
          <w:lang w:val="en-IE"/>
        </w:rPr>
        <w:t xml:space="preserve"> </w:t>
      </w:r>
      <w:r w:rsidRPr="00A81AFE">
        <w:rPr>
          <w:lang w:val="en-IE"/>
        </w:rPr>
        <w:t xml:space="preserve">years proposed by the Agency </w:t>
      </w:r>
      <w:r w:rsidR="00520DE4" w:rsidRPr="00A81AFE">
        <w:rPr>
          <w:lang w:val="en-IE"/>
        </w:rPr>
        <w:t>would</w:t>
      </w:r>
      <w:r w:rsidRPr="00A81AFE">
        <w:rPr>
          <w:lang w:val="en-IE"/>
        </w:rPr>
        <w:t xml:space="preserve"> </w:t>
      </w:r>
      <w:r w:rsidR="00F87D3B" w:rsidRPr="00A81AFE">
        <w:rPr>
          <w:lang w:val="en-IE"/>
        </w:rPr>
        <w:t>be</w:t>
      </w:r>
      <w:r w:rsidRPr="00A81AFE">
        <w:rPr>
          <w:lang w:val="en-IE"/>
        </w:rPr>
        <w:t xml:space="preserve"> justified </w:t>
      </w:r>
      <w:r w:rsidR="00520DE4" w:rsidRPr="00A81AFE">
        <w:rPr>
          <w:lang w:val="en-IE"/>
        </w:rPr>
        <w:t>because</w:t>
      </w:r>
      <w:r w:rsidRPr="00A81AFE">
        <w:rPr>
          <w:lang w:val="en-IE"/>
        </w:rPr>
        <w:t xml:space="preserve"> there is insufficient evidence that increasing the production volumes of alternative ammunition to replace lead gunshot in hunting would require </w:t>
      </w:r>
      <w:r w:rsidR="003672C0" w:rsidRPr="00A81AFE">
        <w:t>five</w:t>
      </w:r>
      <w:r w:rsidR="00AF025B" w:rsidRPr="00A81AFE">
        <w:rPr>
          <w:lang w:val="en-IE"/>
        </w:rPr>
        <w:t xml:space="preserve"> </w:t>
      </w:r>
      <w:r w:rsidRPr="00A81AFE">
        <w:rPr>
          <w:lang w:val="en-IE"/>
        </w:rPr>
        <w:t xml:space="preserve">years. </w:t>
      </w:r>
      <w:r w:rsidR="00ED7300" w:rsidRPr="00A81AFE">
        <w:rPr>
          <w:lang w:val="en-IE"/>
        </w:rPr>
        <w:t>The a</w:t>
      </w:r>
      <w:r w:rsidRPr="00A81AFE">
        <w:rPr>
          <w:lang w:val="en-IE"/>
        </w:rPr>
        <w:t xml:space="preserve">vailable information supported </w:t>
      </w:r>
      <w:r w:rsidR="00AF025B" w:rsidRPr="00A81AFE">
        <w:rPr>
          <w:lang w:val="en-IE"/>
        </w:rPr>
        <w:t>the argument</w:t>
      </w:r>
      <w:r w:rsidRPr="00A81AFE">
        <w:rPr>
          <w:lang w:val="en-IE"/>
        </w:rPr>
        <w:t xml:space="preserve"> that the volumes of lead gunshot used for hunting could be replaced sooner. </w:t>
      </w:r>
      <w:r w:rsidR="00520DE4" w:rsidRPr="00A81AFE">
        <w:rPr>
          <w:lang w:val="en-IE"/>
        </w:rPr>
        <w:t>S</w:t>
      </w:r>
      <w:r w:rsidRPr="00A81AFE">
        <w:rPr>
          <w:lang w:val="en-IE"/>
        </w:rPr>
        <w:t xml:space="preserve">ubstantive and credible evidence to </w:t>
      </w:r>
      <w:r w:rsidR="00520DE4" w:rsidRPr="00A81AFE">
        <w:rPr>
          <w:lang w:val="en-IE"/>
        </w:rPr>
        <w:t xml:space="preserve">reach a conclusion </w:t>
      </w:r>
      <w:r w:rsidRPr="00A81AFE">
        <w:rPr>
          <w:lang w:val="en-IE"/>
        </w:rPr>
        <w:t xml:space="preserve">on the specific length of the transition period was not available to SEAC, </w:t>
      </w:r>
      <w:r w:rsidR="00520DE4" w:rsidRPr="00A81AFE">
        <w:rPr>
          <w:lang w:val="en-IE"/>
        </w:rPr>
        <w:t>so it</w:t>
      </w:r>
      <w:r w:rsidRPr="00A81AFE">
        <w:rPr>
          <w:lang w:val="en-IE"/>
        </w:rPr>
        <w:t xml:space="preserve"> considered </w:t>
      </w:r>
      <w:r w:rsidR="00611399" w:rsidRPr="00A81AFE">
        <w:rPr>
          <w:lang w:val="en-IE"/>
        </w:rPr>
        <w:t xml:space="preserve">that </w:t>
      </w:r>
      <w:r w:rsidRPr="00A81AFE">
        <w:rPr>
          <w:lang w:val="en-IE"/>
        </w:rPr>
        <w:t xml:space="preserve">the minimum period required to ensure </w:t>
      </w:r>
      <w:r w:rsidR="00AF025B" w:rsidRPr="00A81AFE">
        <w:rPr>
          <w:lang w:val="en-IE"/>
        </w:rPr>
        <w:t>the</w:t>
      </w:r>
      <w:r w:rsidRPr="00A81AFE">
        <w:rPr>
          <w:lang w:val="en-IE"/>
        </w:rPr>
        <w:t xml:space="preserve"> smooth transition to alternatives </w:t>
      </w:r>
      <w:r w:rsidR="00520DE4" w:rsidRPr="00A81AFE">
        <w:rPr>
          <w:lang w:val="en-IE"/>
        </w:rPr>
        <w:t xml:space="preserve">would be </w:t>
      </w:r>
      <w:r w:rsidRPr="00A81AFE">
        <w:rPr>
          <w:lang w:val="en-IE"/>
        </w:rPr>
        <w:t>18</w:t>
      </w:r>
      <w:r w:rsidR="00111AA6" w:rsidRPr="00A81AFE">
        <w:rPr>
          <w:lang w:val="en-IE"/>
        </w:rPr>
        <w:t> </w:t>
      </w:r>
      <w:r w:rsidRPr="00A81AFE">
        <w:rPr>
          <w:lang w:val="en-IE"/>
        </w:rPr>
        <w:t>months.</w:t>
      </w:r>
    </w:p>
    <w:p w14:paraId="0013993D" w14:textId="77777777" w:rsidR="00B84EA2" w:rsidRPr="00A81AFE" w:rsidRDefault="00B84EA2" w:rsidP="00B84EA2">
      <w:pPr>
        <w:pStyle w:val="Considrant"/>
        <w:rPr>
          <w:lang w:val="en-IE"/>
        </w:rPr>
      </w:pPr>
      <w:r w:rsidRPr="00A81AFE">
        <w:rPr>
          <w:lang w:val="en-IE"/>
        </w:rPr>
        <w:t xml:space="preserve">In order to </w:t>
      </w:r>
      <w:r w:rsidR="00520DE4" w:rsidRPr="00A81AFE">
        <w:rPr>
          <w:lang w:val="en-IE"/>
        </w:rPr>
        <w:t xml:space="preserve">make it easier to </w:t>
      </w:r>
      <w:r w:rsidRPr="00A81AFE">
        <w:rPr>
          <w:lang w:val="en-IE"/>
        </w:rPr>
        <w:t>enforce the ban on the use of lead gunshot and bullets in hunting,</w:t>
      </w:r>
      <w:r w:rsidR="00AF025B" w:rsidRPr="00A81AFE">
        <w:rPr>
          <w:lang w:val="en-IE"/>
        </w:rPr>
        <w:t xml:space="preserve"> </w:t>
      </w:r>
      <w:r w:rsidRPr="00A81AFE">
        <w:rPr>
          <w:lang w:val="en-IE"/>
        </w:rPr>
        <w:t>SEAC recommended a ban on</w:t>
      </w:r>
      <w:r w:rsidR="00AF025B" w:rsidRPr="00A81AFE">
        <w:rPr>
          <w:lang w:val="en-IE"/>
        </w:rPr>
        <w:t xml:space="preserve"> the</w:t>
      </w:r>
      <w:r w:rsidRPr="00A81AFE">
        <w:rPr>
          <w:lang w:val="en-IE"/>
        </w:rPr>
        <w:t xml:space="preserve"> carrying of lead ammunition </w:t>
      </w:r>
      <w:r w:rsidR="00135E7D" w:rsidRPr="00A81AFE">
        <w:rPr>
          <w:lang w:val="en-IE"/>
        </w:rPr>
        <w:t xml:space="preserve">while hunting or </w:t>
      </w:r>
      <w:r w:rsidRPr="00A81AFE">
        <w:rPr>
          <w:lang w:val="en-IE"/>
        </w:rPr>
        <w:t xml:space="preserve">as part of going hunting. </w:t>
      </w:r>
    </w:p>
    <w:p w14:paraId="0AEA5F61" w14:textId="77777777" w:rsidR="00B04977" w:rsidRPr="00A81AFE" w:rsidRDefault="00C02092" w:rsidP="00B04977">
      <w:pPr>
        <w:pStyle w:val="Considrant"/>
        <w:rPr>
          <w:lang w:val="en-IE"/>
        </w:rPr>
      </w:pPr>
      <w:r w:rsidRPr="00A81AFE">
        <w:rPr>
          <w:lang w:val="en-IE"/>
        </w:rPr>
        <w:t xml:space="preserve">In order to maximise the effectiveness of the proposed restriction, </w:t>
      </w:r>
      <w:r w:rsidR="00931B87" w:rsidRPr="00A81AFE">
        <w:rPr>
          <w:lang w:val="en-IE"/>
        </w:rPr>
        <w:t xml:space="preserve">SEAC </w:t>
      </w:r>
      <w:r w:rsidR="00030C05" w:rsidRPr="00A81AFE">
        <w:rPr>
          <w:lang w:val="en-IE"/>
        </w:rPr>
        <w:t xml:space="preserve">suggested </w:t>
      </w:r>
      <w:r w:rsidR="00931B87" w:rsidRPr="00A81AFE">
        <w:rPr>
          <w:lang w:val="en-IE"/>
        </w:rPr>
        <w:t>limit</w:t>
      </w:r>
      <w:r w:rsidR="00AF025B" w:rsidRPr="00A81AFE">
        <w:rPr>
          <w:lang w:val="en-IE"/>
        </w:rPr>
        <w:t>ing</w:t>
      </w:r>
      <w:r w:rsidR="00931B87" w:rsidRPr="00A81AFE">
        <w:rPr>
          <w:lang w:val="en-IE"/>
        </w:rPr>
        <w:t xml:space="preserve"> the optional derogations for lead gunshot </w:t>
      </w:r>
      <w:r w:rsidR="00030C05" w:rsidRPr="00A81AFE">
        <w:rPr>
          <w:lang w:val="en-IE"/>
        </w:rPr>
        <w:t xml:space="preserve">for sports shooting </w:t>
      </w:r>
      <w:r w:rsidR="00931B87" w:rsidRPr="00A81AFE">
        <w:rPr>
          <w:lang w:val="en-IE"/>
        </w:rPr>
        <w:t>to shot sizes between</w:t>
      </w:r>
      <w:r w:rsidR="00922B5F" w:rsidRPr="00A81AFE">
        <w:rPr>
          <w:lang w:val="en-IE"/>
        </w:rPr>
        <w:t xml:space="preserve"> </w:t>
      </w:r>
      <w:r w:rsidR="00931B87" w:rsidRPr="00A81AFE">
        <w:rPr>
          <w:lang w:val="en-IE"/>
        </w:rPr>
        <w:t>1.9 and 2.6</w:t>
      </w:r>
      <w:r w:rsidR="00764390" w:rsidRPr="00A81AFE">
        <w:rPr>
          <w:lang w:val="en-IE"/>
        </w:rPr>
        <w:t> </w:t>
      </w:r>
      <w:r w:rsidR="00931B87" w:rsidRPr="00A81AFE">
        <w:rPr>
          <w:lang w:val="en-IE"/>
        </w:rPr>
        <w:t xml:space="preserve">mm </w:t>
      </w:r>
      <w:r w:rsidR="00520DE4" w:rsidRPr="00A81AFE">
        <w:rPr>
          <w:lang w:val="en-IE"/>
        </w:rPr>
        <w:t xml:space="preserve">because </w:t>
      </w:r>
      <w:r w:rsidR="00030C05" w:rsidRPr="00A81AFE">
        <w:rPr>
          <w:lang w:val="en-IE"/>
        </w:rPr>
        <w:t>those are the shot sizes used</w:t>
      </w:r>
      <w:r w:rsidR="00903B91" w:rsidRPr="00A81AFE">
        <w:rPr>
          <w:lang w:val="en-IE"/>
        </w:rPr>
        <w:t xml:space="preserve"> for that activity</w:t>
      </w:r>
      <w:r w:rsidR="00931B87" w:rsidRPr="00A81AFE">
        <w:rPr>
          <w:lang w:val="en-IE"/>
        </w:rPr>
        <w:t xml:space="preserve">. </w:t>
      </w:r>
    </w:p>
    <w:p w14:paraId="5C59B1C7" w14:textId="77777777" w:rsidR="00B84EA2" w:rsidRPr="00A81AFE" w:rsidRDefault="00B84EA2" w:rsidP="00B84EA2">
      <w:pPr>
        <w:pStyle w:val="Considrant"/>
        <w:rPr>
          <w:lang w:val="en-IE"/>
        </w:rPr>
      </w:pPr>
      <w:r w:rsidRPr="00A81AFE">
        <w:rPr>
          <w:lang w:val="en-IE"/>
        </w:rPr>
        <w:t xml:space="preserve">SEAC, in line with the Agency and RAC, supported increasing the allowed concentration limit of lead from </w:t>
      </w:r>
      <w:r w:rsidR="004867F4" w:rsidRPr="00A81AFE">
        <w:rPr>
          <w:lang w:val="en-IE"/>
        </w:rPr>
        <w:t xml:space="preserve">less than </w:t>
      </w:r>
      <w:r w:rsidRPr="00A81AFE">
        <w:rPr>
          <w:lang w:val="en-IE"/>
        </w:rPr>
        <w:t xml:space="preserve">1% to </w:t>
      </w:r>
      <w:r w:rsidR="004867F4" w:rsidRPr="00A81AFE">
        <w:rPr>
          <w:lang w:val="en-IE"/>
        </w:rPr>
        <w:t xml:space="preserve">less than </w:t>
      </w:r>
      <w:r w:rsidRPr="00A81AFE">
        <w:rPr>
          <w:lang w:val="en-IE"/>
        </w:rPr>
        <w:t xml:space="preserve">3% </w:t>
      </w:r>
      <w:r w:rsidR="008B3164" w:rsidRPr="00A81AFE">
        <w:t>by weight</w:t>
      </w:r>
      <w:r w:rsidRPr="00A81AFE">
        <w:rPr>
          <w:lang w:val="en-IE"/>
        </w:rPr>
        <w:t xml:space="preserve"> for copper and copper alloys in </w:t>
      </w:r>
      <w:r w:rsidR="00027F3E" w:rsidRPr="00A81AFE">
        <w:rPr>
          <w:lang w:val="en-IE"/>
        </w:rPr>
        <w:t>projectiles other than gunshot</w:t>
      </w:r>
      <w:r w:rsidRPr="00A81AFE">
        <w:rPr>
          <w:lang w:val="en-IE"/>
        </w:rPr>
        <w:t xml:space="preserve">. SEAC </w:t>
      </w:r>
      <w:r w:rsidR="00520DE4" w:rsidRPr="00A81AFE">
        <w:rPr>
          <w:lang w:val="en-IE"/>
        </w:rPr>
        <w:t>also</w:t>
      </w:r>
      <w:r w:rsidRPr="00A81AFE">
        <w:rPr>
          <w:lang w:val="en-IE"/>
        </w:rPr>
        <w:t xml:space="preserve"> supported </w:t>
      </w:r>
      <w:r w:rsidR="00D2500B" w:rsidRPr="00A81AFE">
        <w:rPr>
          <w:lang w:val="en-IE"/>
        </w:rPr>
        <w:t xml:space="preserve">a </w:t>
      </w:r>
      <w:r w:rsidRPr="00A81AFE">
        <w:rPr>
          <w:lang w:val="en-IE"/>
        </w:rPr>
        <w:t>review of that concentration limit before the</w:t>
      </w:r>
      <w:r w:rsidR="00D2500B" w:rsidRPr="00A81AFE">
        <w:rPr>
          <w:lang w:val="en-IE"/>
        </w:rPr>
        <w:t xml:space="preserve"> entry into </w:t>
      </w:r>
      <w:r w:rsidR="00C02092" w:rsidRPr="00A81AFE">
        <w:rPr>
          <w:lang w:val="en-IE"/>
        </w:rPr>
        <w:t>force</w:t>
      </w:r>
      <w:r w:rsidR="00312F11" w:rsidRPr="00A81AFE">
        <w:rPr>
          <w:lang w:val="en-IE"/>
        </w:rPr>
        <w:t xml:space="preserve"> </w:t>
      </w:r>
      <w:r w:rsidR="00D2500B" w:rsidRPr="00A81AFE">
        <w:rPr>
          <w:lang w:val="en-IE"/>
        </w:rPr>
        <w:t>of the restriction</w:t>
      </w:r>
      <w:r w:rsidRPr="00A81AFE">
        <w:rPr>
          <w:lang w:val="en-IE"/>
        </w:rPr>
        <w:t xml:space="preserve"> </w:t>
      </w:r>
      <w:r w:rsidR="006A24F2" w:rsidRPr="00A81AFE">
        <w:t xml:space="preserve">in order </w:t>
      </w:r>
      <w:r w:rsidRPr="00A81AFE">
        <w:rPr>
          <w:lang w:val="en-IE"/>
        </w:rPr>
        <w:t xml:space="preserve">to assess whether </w:t>
      </w:r>
      <w:r w:rsidR="00E74985" w:rsidRPr="00A81AFE">
        <w:rPr>
          <w:lang w:val="en-IE"/>
        </w:rPr>
        <w:t xml:space="preserve">setting </w:t>
      </w:r>
      <w:r w:rsidRPr="00A81AFE">
        <w:rPr>
          <w:lang w:val="en-IE"/>
        </w:rPr>
        <w:t xml:space="preserve">a </w:t>
      </w:r>
      <w:r w:rsidR="00D2500B" w:rsidRPr="00A81AFE">
        <w:rPr>
          <w:lang w:val="en-IE"/>
        </w:rPr>
        <w:t xml:space="preserve">concentration </w:t>
      </w:r>
      <w:r w:rsidRPr="00A81AFE">
        <w:rPr>
          <w:lang w:val="en-IE"/>
        </w:rPr>
        <w:t xml:space="preserve">limit </w:t>
      </w:r>
      <w:r w:rsidR="00D2500B" w:rsidRPr="00A81AFE">
        <w:rPr>
          <w:lang w:val="en-IE"/>
        </w:rPr>
        <w:t xml:space="preserve">lower than </w:t>
      </w:r>
      <w:r w:rsidR="00CB7A4E" w:rsidRPr="00A81AFE">
        <w:rPr>
          <w:lang w:val="en-IE"/>
        </w:rPr>
        <w:t>1</w:t>
      </w:r>
      <w:r w:rsidR="00D2500B" w:rsidRPr="00A81AFE">
        <w:rPr>
          <w:lang w:val="en-IE"/>
        </w:rPr>
        <w:t xml:space="preserve">% </w:t>
      </w:r>
      <w:r w:rsidR="00520DE4" w:rsidRPr="00A81AFE">
        <w:rPr>
          <w:lang w:val="en-IE"/>
        </w:rPr>
        <w:t>would be</w:t>
      </w:r>
      <w:r w:rsidR="00D2500B" w:rsidRPr="00A81AFE">
        <w:rPr>
          <w:lang w:val="en-IE"/>
        </w:rPr>
        <w:t xml:space="preserve"> </w:t>
      </w:r>
      <w:r w:rsidR="00E74985" w:rsidRPr="00A81AFE">
        <w:rPr>
          <w:lang w:val="en-IE"/>
        </w:rPr>
        <w:t>feasible</w:t>
      </w:r>
      <w:r w:rsidRPr="00A81AFE">
        <w:rPr>
          <w:lang w:val="en-IE"/>
        </w:rPr>
        <w:t>.</w:t>
      </w:r>
    </w:p>
    <w:p w14:paraId="780606DC" w14:textId="77777777" w:rsidR="00B84EA2" w:rsidRPr="00A81AFE" w:rsidRDefault="00B84EA2" w:rsidP="00B84EA2">
      <w:pPr>
        <w:pStyle w:val="Considrant"/>
      </w:pPr>
      <w:r w:rsidRPr="00A81AFE">
        <w:rPr>
          <w:lang w:val="en-IE"/>
        </w:rPr>
        <w:t>SEAC supported the Agency</w:t>
      </w:r>
      <w:r w:rsidR="000D4E27" w:rsidRPr="00A81AFE">
        <w:rPr>
          <w:lang w:val="en-IE"/>
        </w:rPr>
        <w:t>’s</w:t>
      </w:r>
      <w:r w:rsidRPr="00A81AFE">
        <w:rPr>
          <w:lang w:val="en-IE"/>
        </w:rPr>
        <w:t xml:space="preserve"> proposal to grant a derogation for bullets for seal hunting and full</w:t>
      </w:r>
      <w:r w:rsidR="00327A43" w:rsidRPr="00A81AFE">
        <w:rPr>
          <w:lang w:val="en-IE"/>
        </w:rPr>
        <w:t xml:space="preserve"> </w:t>
      </w:r>
      <w:r w:rsidRPr="00A81AFE">
        <w:rPr>
          <w:lang w:val="en-IE"/>
        </w:rPr>
        <w:t>metal</w:t>
      </w:r>
      <w:r w:rsidR="00327A43" w:rsidRPr="00A81AFE">
        <w:rPr>
          <w:lang w:val="en-IE"/>
        </w:rPr>
        <w:t xml:space="preserve"> </w:t>
      </w:r>
      <w:r w:rsidRPr="00A81AFE">
        <w:rPr>
          <w:lang w:val="en-IE"/>
        </w:rPr>
        <w:t xml:space="preserve">jacket bullets, </w:t>
      </w:r>
      <w:r w:rsidR="00520DE4" w:rsidRPr="00A81AFE">
        <w:rPr>
          <w:lang w:val="en-IE"/>
        </w:rPr>
        <w:t xml:space="preserve">because </w:t>
      </w:r>
      <w:r w:rsidRPr="00A81AFE">
        <w:t>th</w:t>
      </w:r>
      <w:r w:rsidR="00DD0CF7" w:rsidRPr="00A81AFE">
        <w:t>o</w:t>
      </w:r>
      <w:r w:rsidRPr="00A81AFE">
        <w:t>se</w:t>
      </w:r>
      <w:r w:rsidRPr="00A81AFE">
        <w:rPr>
          <w:lang w:val="en-IE"/>
        </w:rPr>
        <w:t xml:space="preserve"> uses do not contribute significantly to the identified risks and no suitable alternatives </w:t>
      </w:r>
      <w:r w:rsidR="00520DE4" w:rsidRPr="00A81AFE">
        <w:rPr>
          <w:lang w:val="en-IE"/>
        </w:rPr>
        <w:t xml:space="preserve">are </w:t>
      </w:r>
      <w:r w:rsidRPr="00A81AFE">
        <w:rPr>
          <w:lang w:val="en-IE"/>
        </w:rPr>
        <w:t xml:space="preserve">available. </w:t>
      </w:r>
      <w:r w:rsidR="00E2670B" w:rsidRPr="00A81AFE">
        <w:rPr>
          <w:lang w:val="en-IE"/>
        </w:rPr>
        <w:t xml:space="preserve">However, </w:t>
      </w:r>
      <w:r w:rsidRPr="00A81AFE">
        <w:rPr>
          <w:lang w:val="en-IE"/>
        </w:rPr>
        <w:t>SEAC</w:t>
      </w:r>
      <w:r w:rsidR="00875268" w:rsidRPr="00A81AFE">
        <w:rPr>
          <w:lang w:val="en-IE"/>
        </w:rPr>
        <w:t xml:space="preserve"> considered that it should be explicitly mentioned</w:t>
      </w:r>
      <w:r w:rsidRPr="00A81AFE">
        <w:rPr>
          <w:lang w:val="en-IE"/>
        </w:rPr>
        <w:t xml:space="preserve"> that the derogation for full</w:t>
      </w:r>
      <w:r w:rsidR="00327A43" w:rsidRPr="00A81AFE">
        <w:rPr>
          <w:lang w:val="en-IE"/>
        </w:rPr>
        <w:t xml:space="preserve"> </w:t>
      </w:r>
      <w:r w:rsidRPr="00A81AFE">
        <w:rPr>
          <w:lang w:val="en-IE"/>
        </w:rPr>
        <w:t>metal</w:t>
      </w:r>
      <w:r w:rsidR="00327A43" w:rsidRPr="00A81AFE">
        <w:rPr>
          <w:lang w:val="en-IE"/>
        </w:rPr>
        <w:t xml:space="preserve"> </w:t>
      </w:r>
      <w:r w:rsidRPr="00A81AFE">
        <w:rPr>
          <w:lang w:val="en-IE"/>
        </w:rPr>
        <w:t xml:space="preserve">jacket bullets </w:t>
      </w:r>
      <w:r w:rsidR="002F6A37" w:rsidRPr="00A81AFE">
        <w:rPr>
          <w:lang w:val="en-IE"/>
        </w:rPr>
        <w:t xml:space="preserve">would </w:t>
      </w:r>
      <w:r w:rsidRPr="00A81AFE">
        <w:rPr>
          <w:lang w:val="en-IE"/>
        </w:rPr>
        <w:t xml:space="preserve">also </w:t>
      </w:r>
      <w:r w:rsidR="00875268" w:rsidRPr="00A81AFE">
        <w:rPr>
          <w:lang w:val="en-IE"/>
        </w:rPr>
        <w:t>cover</w:t>
      </w:r>
      <w:r w:rsidRPr="00A81AFE">
        <w:rPr>
          <w:lang w:val="en-IE"/>
        </w:rPr>
        <w:t xml:space="preserve"> non-expanding open</w:t>
      </w:r>
      <w:r w:rsidR="00327A43" w:rsidRPr="00A81AFE">
        <w:rPr>
          <w:lang w:val="en-IE"/>
        </w:rPr>
        <w:t xml:space="preserve"> </w:t>
      </w:r>
      <w:r w:rsidRPr="00A81AFE">
        <w:rPr>
          <w:lang w:val="en-IE"/>
        </w:rPr>
        <w:t xml:space="preserve">tip match bullets. Regarding the ban on the use of lead ammunition in muzzle loaders or other historic firearms, SEAC </w:t>
      </w:r>
      <w:r w:rsidR="000D4E27" w:rsidRPr="00A81AFE">
        <w:rPr>
          <w:lang w:val="en-IE"/>
        </w:rPr>
        <w:t xml:space="preserve">noted </w:t>
      </w:r>
      <w:r w:rsidRPr="00A81AFE">
        <w:rPr>
          <w:lang w:val="en-IE"/>
        </w:rPr>
        <w:t xml:space="preserve">that non-lead alternatives are not </w:t>
      </w:r>
      <w:r w:rsidR="00875268" w:rsidRPr="00A81AFE">
        <w:rPr>
          <w:lang w:val="en-IE"/>
        </w:rPr>
        <w:t xml:space="preserve">yet </w:t>
      </w:r>
      <w:r w:rsidRPr="00A81AFE">
        <w:rPr>
          <w:lang w:val="en-IE"/>
        </w:rPr>
        <w:t xml:space="preserve">available for use in historic firearms. </w:t>
      </w:r>
      <w:r w:rsidR="002F6A37" w:rsidRPr="00A81AFE">
        <w:rPr>
          <w:lang w:val="en-IE"/>
        </w:rPr>
        <w:t xml:space="preserve">It nevertheless </w:t>
      </w:r>
      <w:r w:rsidR="000D4E27" w:rsidRPr="00A81AFE">
        <w:rPr>
          <w:lang w:val="en-IE"/>
        </w:rPr>
        <w:t xml:space="preserve">considered </w:t>
      </w:r>
      <w:r w:rsidRPr="00A81AFE">
        <w:rPr>
          <w:lang w:val="en-IE"/>
        </w:rPr>
        <w:t xml:space="preserve">that a conclusion on whether a derogation </w:t>
      </w:r>
      <w:r w:rsidR="00E2670B" w:rsidRPr="00A81AFE">
        <w:rPr>
          <w:lang w:val="en-IE"/>
        </w:rPr>
        <w:t>for</w:t>
      </w:r>
      <w:r w:rsidRPr="00A81AFE">
        <w:rPr>
          <w:lang w:val="en-IE"/>
        </w:rPr>
        <w:t xml:space="preserve"> </w:t>
      </w:r>
      <w:r w:rsidRPr="00A81AFE">
        <w:t>th</w:t>
      </w:r>
      <w:r w:rsidR="00B90A4F" w:rsidRPr="00A81AFE">
        <w:t>at</w:t>
      </w:r>
      <w:r w:rsidRPr="00A81AFE">
        <w:rPr>
          <w:lang w:val="en-IE"/>
        </w:rPr>
        <w:t xml:space="preserve"> use would be justified on </w:t>
      </w:r>
      <w:r w:rsidR="00B07E19" w:rsidRPr="00A81AFE">
        <w:rPr>
          <w:lang w:val="en-IE"/>
        </w:rPr>
        <w:t xml:space="preserve">the basis of </w:t>
      </w:r>
      <w:r w:rsidRPr="00A81AFE">
        <w:rPr>
          <w:lang w:val="en-IE"/>
        </w:rPr>
        <w:t>cultural values</w:t>
      </w:r>
      <w:r w:rsidR="002F6A37" w:rsidRPr="00A81AFE">
        <w:rPr>
          <w:lang w:val="en-IE"/>
        </w:rPr>
        <w:t xml:space="preserve"> (</w:t>
      </w:r>
      <w:r w:rsidR="00875268" w:rsidRPr="00A81AFE">
        <w:rPr>
          <w:lang w:val="en-IE"/>
        </w:rPr>
        <w:t xml:space="preserve">as </w:t>
      </w:r>
      <w:r w:rsidR="002F6A37" w:rsidRPr="00A81AFE">
        <w:rPr>
          <w:lang w:val="en-IE"/>
        </w:rPr>
        <w:t xml:space="preserve">had been </w:t>
      </w:r>
      <w:r w:rsidR="00875268" w:rsidRPr="00A81AFE">
        <w:rPr>
          <w:lang w:val="en-IE"/>
        </w:rPr>
        <w:t xml:space="preserve">suggested </w:t>
      </w:r>
      <w:r w:rsidR="002F6A37" w:rsidRPr="00A81AFE">
        <w:rPr>
          <w:lang w:val="en-IE"/>
        </w:rPr>
        <w:t xml:space="preserve">during </w:t>
      </w:r>
      <w:r w:rsidR="00875268" w:rsidRPr="00A81AFE">
        <w:rPr>
          <w:lang w:val="en-IE"/>
        </w:rPr>
        <w:t>the public consultation</w:t>
      </w:r>
      <w:r w:rsidR="002F6A37" w:rsidRPr="00A81AFE">
        <w:rPr>
          <w:lang w:val="en-IE"/>
        </w:rPr>
        <w:t xml:space="preserve">) would </w:t>
      </w:r>
      <w:r w:rsidRPr="00A81AFE">
        <w:rPr>
          <w:lang w:val="en-IE"/>
        </w:rPr>
        <w:t xml:space="preserve">not </w:t>
      </w:r>
      <w:r w:rsidR="002F6A37" w:rsidRPr="00A81AFE">
        <w:rPr>
          <w:lang w:val="en-IE"/>
        </w:rPr>
        <w:t>be</w:t>
      </w:r>
      <w:r w:rsidRPr="00A81AFE">
        <w:rPr>
          <w:lang w:val="en-IE"/>
        </w:rPr>
        <w:t xml:space="preserve"> possible due to </w:t>
      </w:r>
      <w:r w:rsidR="00E2670B" w:rsidRPr="00A81AFE">
        <w:rPr>
          <w:lang w:val="en-IE"/>
        </w:rPr>
        <w:t xml:space="preserve">a </w:t>
      </w:r>
      <w:r w:rsidRPr="00A81AFE">
        <w:rPr>
          <w:lang w:val="en-IE"/>
        </w:rPr>
        <w:t>lack of information on the socio-economic impacts</w:t>
      </w:r>
      <w:r w:rsidR="00312F11" w:rsidRPr="00A81AFE">
        <w:rPr>
          <w:lang w:val="en-IE"/>
        </w:rPr>
        <w:t xml:space="preserve"> </w:t>
      </w:r>
      <w:r w:rsidR="0047155B" w:rsidRPr="00A81AFE">
        <w:t xml:space="preserve">of such a </w:t>
      </w:r>
      <w:r w:rsidR="00D63C40" w:rsidRPr="00A81AFE">
        <w:t>de</w:t>
      </w:r>
      <w:r w:rsidR="000A246C" w:rsidRPr="00A81AFE">
        <w:t>rogation</w:t>
      </w:r>
      <w:r w:rsidRPr="00A81AFE">
        <w:rPr>
          <w:lang w:val="en-IE"/>
        </w:rPr>
        <w:t xml:space="preserve">. </w:t>
      </w:r>
    </w:p>
    <w:p w14:paraId="1A421F4F" w14:textId="77777777" w:rsidR="00B84EA2" w:rsidRPr="00A81AFE" w:rsidRDefault="00B84EA2" w:rsidP="00BE39F5">
      <w:pPr>
        <w:pStyle w:val="Considrant"/>
        <w:rPr>
          <w:lang w:val="en-IE"/>
        </w:rPr>
      </w:pPr>
      <w:r w:rsidRPr="00A81AFE">
        <w:rPr>
          <w:lang w:val="en-IE"/>
        </w:rPr>
        <w:t xml:space="preserve">SEAC could not </w:t>
      </w:r>
      <w:r w:rsidR="0088514D" w:rsidRPr="00A81AFE">
        <w:rPr>
          <w:lang w:val="en-IE"/>
        </w:rPr>
        <w:t>reach a conclusion as to</w:t>
      </w:r>
      <w:r w:rsidRPr="00A81AFE">
        <w:rPr>
          <w:lang w:val="en-IE"/>
        </w:rPr>
        <w:t xml:space="preserve"> whether a derogation </w:t>
      </w:r>
      <w:r w:rsidR="00C157BD" w:rsidRPr="00A81AFE">
        <w:rPr>
          <w:lang w:val="en-IE"/>
        </w:rPr>
        <w:t xml:space="preserve">for </w:t>
      </w:r>
      <w:r w:rsidR="00875268" w:rsidRPr="00A81AFE">
        <w:rPr>
          <w:lang w:val="en-IE"/>
        </w:rPr>
        <w:t xml:space="preserve">the use of </w:t>
      </w:r>
      <w:r w:rsidR="00BE39F5" w:rsidRPr="00A81AFE">
        <w:rPr>
          <w:lang w:val="en-IE"/>
        </w:rPr>
        <w:t xml:space="preserve">lead </w:t>
      </w:r>
      <w:r w:rsidR="00875268" w:rsidRPr="00A81AFE">
        <w:rPr>
          <w:lang w:val="en-IE"/>
        </w:rPr>
        <w:t xml:space="preserve">split shot </w:t>
      </w:r>
      <w:bookmarkStart w:id="2" w:name="_Hlk171960061"/>
      <w:r w:rsidR="00BE39F5" w:rsidRPr="00A81AFE">
        <w:rPr>
          <w:lang w:val="en-IE"/>
        </w:rPr>
        <w:t>weighing 0</w:t>
      </w:r>
      <w:r w:rsidR="00C157BD" w:rsidRPr="00A81AFE">
        <w:rPr>
          <w:lang w:val="en-IE"/>
        </w:rPr>
        <w:t>.</w:t>
      </w:r>
      <w:r w:rsidR="00BE39F5" w:rsidRPr="00A81AFE">
        <w:rPr>
          <w:lang w:val="en-IE"/>
        </w:rPr>
        <w:t>06</w:t>
      </w:r>
      <w:r w:rsidR="00764390" w:rsidRPr="00A81AFE">
        <w:rPr>
          <w:lang w:val="en-IE"/>
        </w:rPr>
        <w:t> g</w:t>
      </w:r>
      <w:r w:rsidR="00BE39F5" w:rsidRPr="00A81AFE">
        <w:rPr>
          <w:lang w:val="en-IE"/>
        </w:rPr>
        <w:t xml:space="preserve"> </w:t>
      </w:r>
      <w:bookmarkEnd w:id="2"/>
      <w:r w:rsidR="00611399" w:rsidRPr="00A81AFE">
        <w:rPr>
          <w:lang w:val="en-IE"/>
        </w:rPr>
        <w:t xml:space="preserve">or less </w:t>
      </w:r>
      <w:r w:rsidRPr="00A81AFE">
        <w:rPr>
          <w:lang w:val="en-IE"/>
        </w:rPr>
        <w:t>would be justified on socio-economic grounds</w:t>
      </w:r>
      <w:r w:rsidR="0088514D" w:rsidRPr="00A81AFE">
        <w:rPr>
          <w:lang w:val="en-IE"/>
        </w:rPr>
        <w:t>. This was</w:t>
      </w:r>
      <w:r w:rsidR="00875268" w:rsidRPr="00A81AFE">
        <w:rPr>
          <w:lang w:val="en-IE"/>
        </w:rPr>
        <w:t xml:space="preserve"> due to </w:t>
      </w:r>
      <w:r w:rsidR="003606A7" w:rsidRPr="00A81AFE">
        <w:rPr>
          <w:lang w:val="en-IE"/>
        </w:rPr>
        <w:t>a</w:t>
      </w:r>
      <w:r w:rsidR="00875268" w:rsidRPr="00A81AFE">
        <w:rPr>
          <w:lang w:val="en-IE"/>
        </w:rPr>
        <w:t xml:space="preserve"> lack of evidence </w:t>
      </w:r>
      <w:r w:rsidR="00C157BD" w:rsidRPr="00A81AFE">
        <w:rPr>
          <w:lang w:val="en-IE"/>
        </w:rPr>
        <w:t>on: (i)</w:t>
      </w:r>
      <w:r w:rsidR="006462D9" w:rsidRPr="00A81AFE">
        <w:rPr>
          <w:lang w:val="en-IE"/>
        </w:rPr>
        <w:t> </w:t>
      </w:r>
      <w:r w:rsidR="00BE39F5" w:rsidRPr="00A81AFE">
        <w:rPr>
          <w:lang w:val="en-IE"/>
        </w:rPr>
        <w:t>the availability and technical performance of alternatives</w:t>
      </w:r>
      <w:r w:rsidR="00C157BD" w:rsidRPr="00A81AFE">
        <w:rPr>
          <w:lang w:val="en-IE"/>
        </w:rPr>
        <w:t>;</w:t>
      </w:r>
      <w:r w:rsidR="00BE39F5" w:rsidRPr="00A81AFE">
        <w:rPr>
          <w:lang w:val="en-IE"/>
        </w:rPr>
        <w:t xml:space="preserve"> and </w:t>
      </w:r>
      <w:r w:rsidR="00C157BD" w:rsidRPr="00A81AFE">
        <w:rPr>
          <w:lang w:val="en-IE"/>
        </w:rPr>
        <w:t>(ii)</w:t>
      </w:r>
      <w:r w:rsidR="006462D9" w:rsidRPr="00A81AFE">
        <w:rPr>
          <w:lang w:val="en-IE"/>
        </w:rPr>
        <w:t> </w:t>
      </w:r>
      <w:r w:rsidR="00875268" w:rsidRPr="00A81AFE">
        <w:rPr>
          <w:lang w:val="en-IE"/>
        </w:rPr>
        <w:t>the socio-economic impacts of a restriction on this use</w:t>
      </w:r>
      <w:r w:rsidRPr="00A81AFE">
        <w:rPr>
          <w:lang w:val="en-IE"/>
        </w:rPr>
        <w:t>.</w:t>
      </w:r>
    </w:p>
    <w:p w14:paraId="75B7D710" w14:textId="77777777" w:rsidR="00756355" w:rsidRPr="00A81AFE" w:rsidRDefault="00931A9B" w:rsidP="00931A9B">
      <w:pPr>
        <w:pStyle w:val="Considrant"/>
        <w:rPr>
          <w:lang w:val="en-IE"/>
        </w:rPr>
      </w:pPr>
      <w:r w:rsidRPr="00A81AFE">
        <w:rPr>
          <w:lang w:val="en-IE"/>
        </w:rPr>
        <w:t xml:space="preserve">SEAC </w:t>
      </w:r>
      <w:r w:rsidR="00F66186" w:rsidRPr="00A81AFE">
        <w:rPr>
          <w:lang w:val="en-IE"/>
        </w:rPr>
        <w:t xml:space="preserve">did not have sufficient information to </w:t>
      </w:r>
      <w:r w:rsidR="002F6A37" w:rsidRPr="00A81AFE">
        <w:rPr>
          <w:lang w:val="en-IE"/>
        </w:rPr>
        <w:t>reach a conclusion as to whether</w:t>
      </w:r>
      <w:r w:rsidR="00597199" w:rsidRPr="00A81AFE">
        <w:rPr>
          <w:lang w:val="en-IE"/>
        </w:rPr>
        <w:t xml:space="preserve"> the cost</w:t>
      </w:r>
      <w:r w:rsidR="00F66186" w:rsidRPr="00A81AFE">
        <w:rPr>
          <w:lang w:val="en-IE"/>
        </w:rPr>
        <w:t xml:space="preserve"> </w:t>
      </w:r>
      <w:r w:rsidR="002F6A37" w:rsidRPr="00A81AFE">
        <w:rPr>
          <w:lang w:val="en-IE"/>
        </w:rPr>
        <w:t xml:space="preserve">of </w:t>
      </w:r>
      <w:r w:rsidRPr="00A81AFE">
        <w:rPr>
          <w:lang w:val="en-IE"/>
        </w:rPr>
        <w:t>provid</w:t>
      </w:r>
      <w:r w:rsidR="002F6A37" w:rsidRPr="00A81AFE">
        <w:rPr>
          <w:lang w:val="en-IE"/>
        </w:rPr>
        <w:t>ing</w:t>
      </w:r>
      <w:r w:rsidRPr="00A81AFE">
        <w:rPr>
          <w:lang w:val="en-IE"/>
        </w:rPr>
        <w:t xml:space="preserve"> information at the point of sale</w:t>
      </w:r>
      <w:r w:rsidR="002F6A37" w:rsidRPr="00A81AFE">
        <w:rPr>
          <w:lang w:val="en-IE"/>
        </w:rPr>
        <w:t xml:space="preserve"> (</w:t>
      </w:r>
      <w:r w:rsidRPr="00A81AFE">
        <w:rPr>
          <w:lang w:val="en-IE"/>
        </w:rPr>
        <w:t xml:space="preserve">as proposed by </w:t>
      </w:r>
      <w:r w:rsidR="00597199" w:rsidRPr="00A81AFE">
        <w:rPr>
          <w:lang w:val="en-IE"/>
        </w:rPr>
        <w:t>the Agency and supported by</w:t>
      </w:r>
      <w:r w:rsidR="00C157BD" w:rsidRPr="00A81AFE">
        <w:rPr>
          <w:lang w:val="en-IE"/>
        </w:rPr>
        <w:t xml:space="preserve"> </w:t>
      </w:r>
      <w:r w:rsidRPr="00A81AFE">
        <w:rPr>
          <w:lang w:val="en-IE"/>
        </w:rPr>
        <w:t>RAC</w:t>
      </w:r>
      <w:r w:rsidR="002F6A37" w:rsidRPr="00A81AFE">
        <w:rPr>
          <w:lang w:val="en-IE"/>
        </w:rPr>
        <w:t>)</w:t>
      </w:r>
      <w:r w:rsidR="00F66186" w:rsidRPr="00A81AFE">
        <w:rPr>
          <w:lang w:val="en-IE"/>
        </w:rPr>
        <w:t xml:space="preserve"> </w:t>
      </w:r>
      <w:r w:rsidR="002F6A37" w:rsidRPr="00A81AFE">
        <w:rPr>
          <w:lang w:val="en-IE"/>
        </w:rPr>
        <w:t xml:space="preserve">would be </w:t>
      </w:r>
      <w:r w:rsidR="00F66186" w:rsidRPr="00A81AFE">
        <w:rPr>
          <w:lang w:val="en-IE"/>
        </w:rPr>
        <w:t>fully justified</w:t>
      </w:r>
      <w:r w:rsidR="002F6A37" w:rsidRPr="00A81AFE">
        <w:rPr>
          <w:lang w:val="en-IE"/>
        </w:rPr>
        <w:t>,</w:t>
      </w:r>
      <w:r w:rsidR="00F66186" w:rsidRPr="00A81AFE">
        <w:rPr>
          <w:lang w:val="en-IE"/>
        </w:rPr>
        <w:t xml:space="preserve"> or </w:t>
      </w:r>
      <w:r w:rsidR="002F6A37" w:rsidRPr="00A81AFE">
        <w:rPr>
          <w:lang w:val="en-IE"/>
        </w:rPr>
        <w:t xml:space="preserve">whether </w:t>
      </w:r>
      <w:r w:rsidR="00F66186" w:rsidRPr="00A81AFE">
        <w:rPr>
          <w:lang w:val="en-IE"/>
        </w:rPr>
        <w:t>other educational measures could more effective</w:t>
      </w:r>
      <w:r w:rsidR="002F6A37" w:rsidRPr="00A81AFE">
        <w:rPr>
          <w:lang w:val="en-IE"/>
        </w:rPr>
        <w:t>ly</w:t>
      </w:r>
      <w:r w:rsidR="00597199" w:rsidRPr="00A81AFE">
        <w:rPr>
          <w:lang w:val="en-IE"/>
        </w:rPr>
        <w:t xml:space="preserve"> influenc</w:t>
      </w:r>
      <w:r w:rsidR="002F6A37" w:rsidRPr="00A81AFE">
        <w:rPr>
          <w:lang w:val="en-IE"/>
        </w:rPr>
        <w:t>e</w:t>
      </w:r>
      <w:r w:rsidR="00597199" w:rsidRPr="00A81AFE">
        <w:rPr>
          <w:lang w:val="en-IE"/>
        </w:rPr>
        <w:t xml:space="preserve"> purchasing behaviour</w:t>
      </w:r>
      <w:r w:rsidRPr="00A81AFE">
        <w:rPr>
          <w:lang w:val="en-IE"/>
        </w:rPr>
        <w:t xml:space="preserve">. </w:t>
      </w:r>
      <w:r w:rsidR="00CA59D2" w:rsidRPr="00A81AFE">
        <w:rPr>
          <w:lang w:val="en-IE"/>
        </w:rPr>
        <w:t>SEAC agree</w:t>
      </w:r>
      <w:r w:rsidR="00916622" w:rsidRPr="00A81AFE">
        <w:rPr>
          <w:lang w:val="en-IE"/>
        </w:rPr>
        <w:t>d</w:t>
      </w:r>
      <w:r w:rsidR="00CA59D2" w:rsidRPr="00A81AFE">
        <w:rPr>
          <w:lang w:val="en-IE"/>
        </w:rPr>
        <w:t xml:space="preserve"> with RAC that </w:t>
      </w:r>
      <w:r w:rsidR="00CA59D2" w:rsidRPr="00A81AFE">
        <w:rPr>
          <w:lang w:val="en-IE"/>
        </w:rPr>
        <w:lastRenderedPageBreak/>
        <w:t xml:space="preserve">the same concentration </w:t>
      </w:r>
      <w:r w:rsidR="005231BD" w:rsidRPr="00A81AFE">
        <w:rPr>
          <w:lang w:val="en-IE"/>
        </w:rPr>
        <w:t>limit</w:t>
      </w:r>
      <w:r w:rsidR="00CA59D2" w:rsidRPr="00A81AFE">
        <w:rPr>
          <w:lang w:val="en-IE"/>
        </w:rPr>
        <w:t xml:space="preserve"> of 1% </w:t>
      </w:r>
      <w:r w:rsidR="00347298" w:rsidRPr="00A81AFE">
        <w:t xml:space="preserve">by weight </w:t>
      </w:r>
      <w:r w:rsidR="00327A43" w:rsidRPr="00A81AFE">
        <w:rPr>
          <w:lang w:val="en-IE"/>
        </w:rPr>
        <w:t xml:space="preserve">that was being </w:t>
      </w:r>
      <w:r w:rsidR="00CA59D2" w:rsidRPr="00A81AFE">
        <w:rPr>
          <w:lang w:val="en-IE"/>
        </w:rPr>
        <w:t>proposed for restricting the placing on the market and use of lead ammunition and fishing tackle should also apply to labelling and information requirements</w:t>
      </w:r>
      <w:r w:rsidR="00207A61" w:rsidRPr="00A81AFE">
        <w:t xml:space="preserve"> </w:t>
      </w:r>
      <w:r w:rsidR="002D513F" w:rsidRPr="00A81AFE">
        <w:t>in order</w:t>
      </w:r>
      <w:r w:rsidR="00312F11" w:rsidRPr="00A81AFE">
        <w:t xml:space="preserve"> </w:t>
      </w:r>
      <w:r w:rsidR="00CA59D2" w:rsidRPr="00A81AFE">
        <w:rPr>
          <w:lang w:val="en-IE"/>
        </w:rPr>
        <w:t xml:space="preserve">to avoid confusion and </w:t>
      </w:r>
      <w:r w:rsidR="002F6A37" w:rsidRPr="00A81AFE">
        <w:rPr>
          <w:lang w:val="en-IE"/>
        </w:rPr>
        <w:t xml:space="preserve">assist </w:t>
      </w:r>
      <w:r w:rsidR="00CA59D2" w:rsidRPr="00A81AFE">
        <w:rPr>
          <w:lang w:val="en-IE"/>
        </w:rPr>
        <w:t>enforcement. SEAC also support</w:t>
      </w:r>
      <w:r w:rsidR="00916622" w:rsidRPr="00A81AFE">
        <w:rPr>
          <w:lang w:val="en-IE"/>
        </w:rPr>
        <w:t>ed</w:t>
      </w:r>
      <w:r w:rsidR="00CA59D2" w:rsidRPr="00A81AFE">
        <w:rPr>
          <w:lang w:val="en-IE"/>
        </w:rPr>
        <w:t xml:space="preserve"> RAC’s proposal to apply the labelling and information requirements to alternatives containing copper and copper alloys only when </w:t>
      </w:r>
      <w:r w:rsidR="00C157BD" w:rsidRPr="00A81AFE">
        <w:rPr>
          <w:lang w:val="en-IE"/>
        </w:rPr>
        <w:t xml:space="preserve">the </w:t>
      </w:r>
      <w:r w:rsidR="00CA59D2" w:rsidRPr="00A81AFE">
        <w:rPr>
          <w:lang w:val="en-IE"/>
        </w:rPr>
        <w:t>lead content is equal to or greater than 3%</w:t>
      </w:r>
      <w:r w:rsidR="002F6A37" w:rsidRPr="00A81AFE">
        <w:rPr>
          <w:lang w:val="en-IE"/>
        </w:rPr>
        <w:t xml:space="preserve"> </w:t>
      </w:r>
      <w:r w:rsidR="003C1461" w:rsidRPr="00A81AFE">
        <w:t>by weight</w:t>
      </w:r>
      <w:r w:rsidR="00CA59D2" w:rsidRPr="00A81AFE">
        <w:t>.</w:t>
      </w:r>
      <w:r w:rsidR="00312F11" w:rsidRPr="00A81AFE">
        <w:t xml:space="preserve"> </w:t>
      </w:r>
      <w:r w:rsidR="00F94042" w:rsidRPr="00A81AFE">
        <w:rPr>
          <w:lang w:val="en-IE"/>
        </w:rPr>
        <w:t xml:space="preserve">SEAC considered that </w:t>
      </w:r>
      <w:r w:rsidR="00916622" w:rsidRPr="00A81AFE">
        <w:rPr>
          <w:lang w:val="en-IE"/>
        </w:rPr>
        <w:t>enforcement</w:t>
      </w:r>
      <w:r w:rsidRPr="00A81AFE">
        <w:rPr>
          <w:lang w:val="en-IE"/>
        </w:rPr>
        <w:t xml:space="preserve"> in the field</w:t>
      </w:r>
      <w:r w:rsidR="00F94042" w:rsidRPr="00A81AFE">
        <w:rPr>
          <w:lang w:val="en-IE"/>
        </w:rPr>
        <w:t xml:space="preserve"> would be more effective </w:t>
      </w:r>
      <w:r w:rsidR="00916622" w:rsidRPr="00A81AFE">
        <w:rPr>
          <w:lang w:val="en-IE"/>
        </w:rPr>
        <w:t xml:space="preserve">if individual lead bullets or gunshot cartridges </w:t>
      </w:r>
      <w:r w:rsidR="00202212" w:rsidRPr="00A81AFE">
        <w:t>were</w:t>
      </w:r>
      <w:r w:rsidR="00916622" w:rsidRPr="00A81AFE">
        <w:rPr>
          <w:lang w:val="en-IE"/>
        </w:rPr>
        <w:t xml:space="preserve">  identified </w:t>
      </w:r>
      <w:r w:rsidR="00F94042" w:rsidRPr="00A81AFE">
        <w:rPr>
          <w:lang w:val="en-IE"/>
        </w:rPr>
        <w:t>by</w:t>
      </w:r>
      <w:r w:rsidR="004426C4" w:rsidRPr="00A81AFE">
        <w:rPr>
          <w:lang w:val="en-IE"/>
        </w:rPr>
        <w:t xml:space="preserve"> means of marking</w:t>
      </w:r>
      <w:r w:rsidRPr="00A81AFE">
        <w:rPr>
          <w:lang w:val="en-IE"/>
        </w:rPr>
        <w:t>s</w:t>
      </w:r>
      <w:r w:rsidR="00916622" w:rsidRPr="00A81AFE">
        <w:rPr>
          <w:lang w:val="en-IE"/>
        </w:rPr>
        <w:t xml:space="preserve"> or </w:t>
      </w:r>
      <w:r w:rsidR="004426C4" w:rsidRPr="00A81AFE">
        <w:rPr>
          <w:lang w:val="en-IE"/>
        </w:rPr>
        <w:t>colour coding</w:t>
      </w:r>
      <w:r w:rsidR="00D44207" w:rsidRPr="00A81AFE">
        <w:rPr>
          <w:lang w:val="en-IE"/>
        </w:rPr>
        <w:t xml:space="preserve">. </w:t>
      </w:r>
      <w:r w:rsidR="00F94042" w:rsidRPr="00A81AFE">
        <w:rPr>
          <w:lang w:val="en-IE"/>
        </w:rPr>
        <w:t xml:space="preserve">However, </w:t>
      </w:r>
      <w:r w:rsidR="002F6A37" w:rsidRPr="00A81AFE">
        <w:rPr>
          <w:lang w:val="en-IE"/>
        </w:rPr>
        <w:t xml:space="preserve">it </w:t>
      </w:r>
      <w:r w:rsidRPr="00A81AFE">
        <w:rPr>
          <w:lang w:val="en-IE"/>
        </w:rPr>
        <w:t xml:space="preserve">did not have sufficient information to conclude on the technical feasibility, the costs involved </w:t>
      </w:r>
      <w:r w:rsidR="002F6A37" w:rsidRPr="00A81AFE">
        <w:rPr>
          <w:lang w:val="en-IE"/>
        </w:rPr>
        <w:t xml:space="preserve">and </w:t>
      </w:r>
      <w:r w:rsidRPr="00A81AFE">
        <w:rPr>
          <w:lang w:val="en-IE"/>
        </w:rPr>
        <w:t xml:space="preserve">the practicality of such markings or </w:t>
      </w:r>
      <w:r w:rsidR="00D678B5" w:rsidRPr="00A81AFE">
        <w:rPr>
          <w:lang w:val="en-IE"/>
        </w:rPr>
        <w:t>colour coding</w:t>
      </w:r>
      <w:r w:rsidRPr="00A81AFE">
        <w:rPr>
          <w:lang w:val="en-IE"/>
        </w:rPr>
        <w:t>.</w:t>
      </w:r>
    </w:p>
    <w:p w14:paraId="28C277F3" w14:textId="77777777" w:rsidR="0062082D" w:rsidRPr="00A81AFE" w:rsidRDefault="0062082D" w:rsidP="00A1460C">
      <w:pPr>
        <w:pStyle w:val="Considrant"/>
        <w:rPr>
          <w:lang w:val="en-IE"/>
        </w:rPr>
      </w:pPr>
      <w:r w:rsidRPr="00A81AFE">
        <w:rPr>
          <w:lang w:val="en-IE"/>
        </w:rPr>
        <w:t>The Forum for Exchange of Information on Enforcement was consulted in accordance with Article</w:t>
      </w:r>
      <w:r w:rsidR="004A769C" w:rsidRPr="00A81AFE">
        <w:rPr>
          <w:lang w:val="en-IE"/>
        </w:rPr>
        <w:t> </w:t>
      </w:r>
      <w:r w:rsidRPr="00A81AFE">
        <w:rPr>
          <w:lang w:val="en-IE"/>
        </w:rPr>
        <w:t>77(4</w:t>
      </w:r>
      <w:r w:rsidRPr="00A81AFE">
        <w:t>)</w:t>
      </w:r>
      <w:r w:rsidR="00460094" w:rsidRPr="00A81AFE">
        <w:t xml:space="preserve">, point </w:t>
      </w:r>
      <w:r w:rsidRPr="00A81AFE">
        <w:t>(</w:t>
      </w:r>
      <w:r w:rsidRPr="00A81AFE">
        <w:rPr>
          <w:lang w:val="en-IE"/>
        </w:rPr>
        <w:t>h</w:t>
      </w:r>
      <w:r w:rsidRPr="00A81AFE">
        <w:t>)</w:t>
      </w:r>
      <w:r w:rsidR="00460094" w:rsidRPr="00A81AFE">
        <w:t>,</w:t>
      </w:r>
      <w:r w:rsidRPr="00A81AFE">
        <w:rPr>
          <w:lang w:val="en-IE"/>
        </w:rPr>
        <w:t xml:space="preserve"> of Regulation (EC) No</w:t>
      </w:r>
      <w:r w:rsidR="006462D9" w:rsidRPr="00A81AFE">
        <w:rPr>
          <w:lang w:val="en-IE"/>
        </w:rPr>
        <w:t> </w:t>
      </w:r>
      <w:r w:rsidRPr="00A81AFE">
        <w:rPr>
          <w:lang w:val="en-IE"/>
        </w:rPr>
        <w:t>1907/2006</w:t>
      </w:r>
      <w:r w:rsidR="002F6A37" w:rsidRPr="00A81AFE">
        <w:rPr>
          <w:lang w:val="en-IE"/>
        </w:rPr>
        <w:t>. I</w:t>
      </w:r>
      <w:r w:rsidRPr="00A81AFE">
        <w:rPr>
          <w:lang w:val="en-IE"/>
        </w:rPr>
        <w:t>ts recommendations were taken into account.</w:t>
      </w:r>
    </w:p>
    <w:p w14:paraId="478077EC" w14:textId="77777777" w:rsidR="0062082D" w:rsidRPr="00A81AFE" w:rsidRDefault="0062082D" w:rsidP="00A1460C">
      <w:pPr>
        <w:pStyle w:val="Considrant"/>
        <w:rPr>
          <w:lang w:val="en-IE"/>
        </w:rPr>
      </w:pPr>
      <w:r w:rsidRPr="00A81AFE">
        <w:rPr>
          <w:lang w:val="en-IE"/>
        </w:rPr>
        <w:t xml:space="preserve">On </w:t>
      </w:r>
      <w:r w:rsidR="006D7C34" w:rsidRPr="00A81AFE">
        <w:rPr>
          <w:lang w:val="en-IE"/>
        </w:rPr>
        <w:t>27</w:t>
      </w:r>
      <w:r w:rsidR="00764390" w:rsidRPr="00A81AFE">
        <w:rPr>
          <w:lang w:val="en-IE"/>
        </w:rPr>
        <w:t> </w:t>
      </w:r>
      <w:r w:rsidR="00C86488" w:rsidRPr="00A81AFE">
        <w:rPr>
          <w:lang w:val="en-IE"/>
        </w:rPr>
        <w:t>February</w:t>
      </w:r>
      <w:r w:rsidR="00764390" w:rsidRPr="00A81AFE">
        <w:rPr>
          <w:lang w:val="en-IE"/>
        </w:rPr>
        <w:t> </w:t>
      </w:r>
      <w:r w:rsidR="00C86488" w:rsidRPr="00A81AFE">
        <w:rPr>
          <w:lang w:val="en-IE"/>
        </w:rPr>
        <w:t>2023</w:t>
      </w:r>
      <w:r w:rsidRPr="00A81AFE">
        <w:rPr>
          <w:lang w:val="en-IE"/>
        </w:rPr>
        <w:t>, the Agency submitted the opinions of RAC and SEAC</w:t>
      </w:r>
      <w:r w:rsidR="005D2726" w:rsidRPr="00A81AFE">
        <w:rPr>
          <w:lang w:val="en-IE"/>
        </w:rPr>
        <w:t> </w:t>
      </w:r>
      <w:r w:rsidRPr="00A81AFE">
        <w:rPr>
          <w:rStyle w:val="Allmrkuseviide"/>
          <w:lang w:val="en-IE"/>
        </w:rPr>
        <w:footnoteReference w:id="11"/>
      </w:r>
      <w:r w:rsidRPr="00A81AFE">
        <w:rPr>
          <w:lang w:val="en-IE"/>
        </w:rPr>
        <w:t xml:space="preserve"> to the Commission.</w:t>
      </w:r>
    </w:p>
    <w:p w14:paraId="26857FFD" w14:textId="77777777" w:rsidR="00DC0CA6" w:rsidRPr="00A81AFE" w:rsidRDefault="00FD24FC" w:rsidP="00A1460C">
      <w:pPr>
        <w:pStyle w:val="Considrant"/>
        <w:rPr>
          <w:lang w:val="en-IE"/>
        </w:rPr>
      </w:pPr>
      <w:r w:rsidRPr="00A81AFE">
        <w:rPr>
          <w:lang w:val="en-IE"/>
        </w:rPr>
        <w:t>Taking into account the Annex</w:t>
      </w:r>
      <w:r w:rsidR="004A769C" w:rsidRPr="00A81AFE">
        <w:rPr>
          <w:lang w:val="en-IE"/>
        </w:rPr>
        <w:t> </w:t>
      </w:r>
      <w:r w:rsidRPr="00A81AFE">
        <w:rPr>
          <w:lang w:val="en-IE"/>
        </w:rPr>
        <w:t>XV dossier, the opinions of</w:t>
      </w:r>
      <w:r w:rsidR="00881294" w:rsidRPr="00A81AFE">
        <w:rPr>
          <w:lang w:val="en-IE"/>
        </w:rPr>
        <w:t xml:space="preserve"> </w:t>
      </w:r>
      <w:r w:rsidRPr="00A81AFE">
        <w:rPr>
          <w:lang w:val="en-IE"/>
        </w:rPr>
        <w:t xml:space="preserve">RAC and SEAC, the socio-economic impact and the </w:t>
      </w:r>
      <w:r w:rsidRPr="00A81AFE">
        <w:t>availability of alternatives</w:t>
      </w:r>
      <w:r w:rsidRPr="00A81AFE">
        <w:rPr>
          <w:lang w:val="en-IE"/>
        </w:rPr>
        <w:t xml:space="preserve"> </w:t>
      </w:r>
      <w:r w:rsidR="00F30A9C" w:rsidRPr="00A81AFE">
        <w:t>to lead</w:t>
      </w:r>
      <w:r w:rsidR="00371E68" w:rsidRPr="00A81AFE">
        <w:t xml:space="preserve"> ammunition and lead fishing tackle</w:t>
      </w:r>
      <w:r w:rsidRPr="00A81AFE">
        <w:t>, the Commission considers</w:t>
      </w:r>
      <w:r w:rsidR="005937FB" w:rsidRPr="00A81AFE">
        <w:t xml:space="preserve"> that there </w:t>
      </w:r>
      <w:r w:rsidR="005937FB" w:rsidRPr="00A81AFE">
        <w:rPr>
          <w:lang w:val="en-IE"/>
        </w:rPr>
        <w:t xml:space="preserve">is an unacceptable risk to the environment and human </w:t>
      </w:r>
      <w:r w:rsidR="005937FB" w:rsidRPr="00A81AFE">
        <w:t>health stemming from the use of lead ammunition and lead fishing tackle</w:t>
      </w:r>
      <w:r w:rsidR="00826C64" w:rsidRPr="00A81AFE">
        <w:rPr>
          <w:lang w:val="en-IE"/>
        </w:rPr>
        <w:t>,</w:t>
      </w:r>
      <w:r w:rsidR="005937FB" w:rsidRPr="00A81AFE">
        <w:rPr>
          <w:lang w:val="en-IE"/>
        </w:rPr>
        <w:t xml:space="preserve"> </w:t>
      </w:r>
      <w:r w:rsidR="00C80E83" w:rsidRPr="00A81AFE">
        <w:rPr>
          <w:lang w:val="en-IE"/>
        </w:rPr>
        <w:t xml:space="preserve">and that </w:t>
      </w:r>
      <w:r w:rsidR="00C80E83" w:rsidRPr="00A81AFE">
        <w:t>th</w:t>
      </w:r>
      <w:r w:rsidR="00371E68" w:rsidRPr="00A81AFE">
        <w:t>at</w:t>
      </w:r>
      <w:r w:rsidR="00C80E83" w:rsidRPr="00A81AFE">
        <w:rPr>
          <w:lang w:val="en-IE"/>
        </w:rPr>
        <w:t xml:space="preserve"> risk </w:t>
      </w:r>
      <w:r w:rsidR="005937FB" w:rsidRPr="00A81AFE">
        <w:rPr>
          <w:lang w:val="en-IE"/>
        </w:rPr>
        <w:t>needs to be addressed on a Union-wide basis. It is therefore appropriate to introduce a restriction on the placing on the market and use of such ammunition and fishing tackle.</w:t>
      </w:r>
    </w:p>
    <w:p w14:paraId="6A8BCBEC" w14:textId="77777777" w:rsidR="002E6B0E" w:rsidRPr="00A81AFE" w:rsidRDefault="00A70DE3" w:rsidP="00FD24FC">
      <w:pPr>
        <w:pStyle w:val="Considrant"/>
        <w:rPr>
          <w:lang w:val="en-IE"/>
        </w:rPr>
      </w:pPr>
      <w:r w:rsidRPr="00A81AFE">
        <w:rPr>
          <w:lang w:val="en-IE"/>
        </w:rPr>
        <w:t xml:space="preserve">The </w:t>
      </w:r>
      <w:bookmarkStart w:id="3" w:name="_Hlk190269395"/>
      <w:r w:rsidRPr="00A81AFE">
        <w:rPr>
          <w:lang w:val="en-IE"/>
        </w:rPr>
        <w:t xml:space="preserve">restriction should apply to ammunition and fishing tackle </w:t>
      </w:r>
      <w:r w:rsidR="00E9545C" w:rsidRPr="00A81AFE">
        <w:rPr>
          <w:lang w:val="en-IE"/>
        </w:rPr>
        <w:t xml:space="preserve">with </w:t>
      </w:r>
      <w:r w:rsidRPr="00A81AFE">
        <w:rPr>
          <w:lang w:val="en-IE"/>
        </w:rPr>
        <w:t xml:space="preserve">a </w:t>
      </w:r>
      <w:r w:rsidR="00E9545C" w:rsidRPr="00A81AFE">
        <w:rPr>
          <w:lang w:val="en-IE"/>
        </w:rPr>
        <w:t xml:space="preserve">lead </w:t>
      </w:r>
      <w:r w:rsidRPr="00A81AFE">
        <w:rPr>
          <w:lang w:val="en-IE"/>
        </w:rPr>
        <w:t>concentration equal to or greater than 1%</w:t>
      </w:r>
      <w:r w:rsidR="00100E13" w:rsidRPr="00A81AFE">
        <w:rPr>
          <w:lang w:val="en-IE"/>
        </w:rPr>
        <w:t xml:space="preserve"> by weight</w:t>
      </w:r>
      <w:bookmarkEnd w:id="3"/>
      <w:r w:rsidRPr="00A81AFE">
        <w:rPr>
          <w:lang w:val="en-IE"/>
        </w:rPr>
        <w:t xml:space="preserve">. </w:t>
      </w:r>
      <w:r w:rsidR="00C17884" w:rsidRPr="00A81AFE">
        <w:t>Th</w:t>
      </w:r>
      <w:r w:rsidR="00DF208A" w:rsidRPr="00A81AFE">
        <w:t>at</w:t>
      </w:r>
      <w:r w:rsidRPr="00A81AFE">
        <w:rPr>
          <w:lang w:val="en-IE"/>
        </w:rPr>
        <w:t xml:space="preserve"> is the concentration limit laid down in the restriction in entry</w:t>
      </w:r>
      <w:r w:rsidR="00E9545C" w:rsidRPr="00A81AFE">
        <w:rPr>
          <w:lang w:val="en-IE"/>
        </w:rPr>
        <w:t> </w:t>
      </w:r>
      <w:r w:rsidRPr="00A81AFE">
        <w:t xml:space="preserve">63 </w:t>
      </w:r>
      <w:r w:rsidR="00EC2F14" w:rsidRPr="00A81AFE">
        <w:t xml:space="preserve">of </w:t>
      </w:r>
      <w:r w:rsidR="00B61E49" w:rsidRPr="00A81AFE">
        <w:t>Annex XVII to Regulation (EC) No 1907/2006</w:t>
      </w:r>
      <w:r w:rsidR="00B61E49" w:rsidRPr="00A81AFE">
        <w:rPr>
          <w:lang w:val="en-IE"/>
        </w:rPr>
        <w:t xml:space="preserve"> </w:t>
      </w:r>
      <w:r w:rsidRPr="00A81AFE">
        <w:rPr>
          <w:lang w:val="en-IE"/>
        </w:rPr>
        <w:t>for lead in gunshot in or around wetland</w:t>
      </w:r>
      <w:r w:rsidR="00C80E83" w:rsidRPr="00A81AFE">
        <w:rPr>
          <w:lang w:val="en-IE"/>
        </w:rPr>
        <w:t>s</w:t>
      </w:r>
      <w:r w:rsidRPr="00A81AFE">
        <w:rPr>
          <w:lang w:val="en-IE"/>
        </w:rPr>
        <w:t xml:space="preserve">, because </w:t>
      </w:r>
      <w:r w:rsidR="00E9545C" w:rsidRPr="00A81AFE">
        <w:rPr>
          <w:lang w:val="en-IE"/>
        </w:rPr>
        <w:t xml:space="preserve">this </w:t>
      </w:r>
      <w:r w:rsidRPr="00A81AFE">
        <w:rPr>
          <w:lang w:val="en-IE"/>
        </w:rPr>
        <w:t>is the concentration limit applied for the purposes of the ‘non-toxic’ gunshot</w:t>
      </w:r>
      <w:r w:rsidR="00C80E83" w:rsidRPr="00A81AFE">
        <w:rPr>
          <w:lang w:val="en-IE"/>
        </w:rPr>
        <w:t>-</w:t>
      </w:r>
      <w:r w:rsidRPr="00A81AFE">
        <w:rPr>
          <w:lang w:val="en-IE"/>
        </w:rPr>
        <w:t xml:space="preserve">approval process in the United States of America in order to </w:t>
      </w:r>
      <w:r w:rsidR="00D2393F" w:rsidRPr="00A81AFE">
        <w:rPr>
          <w:lang w:val="en-IE"/>
        </w:rPr>
        <w:t>prevent</w:t>
      </w:r>
      <w:r w:rsidRPr="00A81AFE">
        <w:rPr>
          <w:lang w:val="en-IE"/>
        </w:rPr>
        <w:t xml:space="preserve"> a significant toxicity danger to migratory b</w:t>
      </w:r>
      <w:r w:rsidR="004D40F0" w:rsidRPr="00A81AFE">
        <w:rPr>
          <w:lang w:val="en-IE"/>
        </w:rPr>
        <w:t>i</w:t>
      </w:r>
      <w:r w:rsidRPr="00A81AFE">
        <w:rPr>
          <w:lang w:val="en-IE"/>
        </w:rPr>
        <w:t xml:space="preserve">rds and other wildlife </w:t>
      </w:r>
      <w:r w:rsidR="008B28CD" w:rsidRPr="00A81AFE">
        <w:rPr>
          <w:lang w:val="en-IE"/>
        </w:rPr>
        <w:t xml:space="preserve">and </w:t>
      </w:r>
      <w:r w:rsidR="00E9545C" w:rsidRPr="00A81AFE">
        <w:rPr>
          <w:lang w:val="en-IE"/>
        </w:rPr>
        <w:t xml:space="preserve">to </w:t>
      </w:r>
      <w:r w:rsidRPr="00A81AFE">
        <w:rPr>
          <w:lang w:val="en-IE"/>
        </w:rPr>
        <w:t xml:space="preserve">their habitats. Moreover, </w:t>
      </w:r>
      <w:r w:rsidR="00E9545C" w:rsidRPr="00A81AFE">
        <w:rPr>
          <w:lang w:val="en-IE"/>
        </w:rPr>
        <w:t xml:space="preserve">it is considered that </w:t>
      </w:r>
      <w:r w:rsidRPr="00A81AFE">
        <w:rPr>
          <w:lang w:val="en-IE"/>
        </w:rPr>
        <w:t xml:space="preserve">the 1% concentration limit is sufficient to address the </w:t>
      </w:r>
      <w:r w:rsidR="00C17884" w:rsidRPr="00A81AFE">
        <w:rPr>
          <w:lang w:val="en-IE"/>
        </w:rPr>
        <w:t xml:space="preserve">identified </w:t>
      </w:r>
      <w:r w:rsidRPr="00A81AFE">
        <w:rPr>
          <w:lang w:val="en-IE"/>
        </w:rPr>
        <w:t xml:space="preserve">risk </w:t>
      </w:r>
      <w:r w:rsidR="00E9545C" w:rsidRPr="00A81AFE">
        <w:rPr>
          <w:lang w:val="en-IE"/>
        </w:rPr>
        <w:t>and can be</w:t>
      </w:r>
      <w:r w:rsidRPr="00A81AFE">
        <w:rPr>
          <w:lang w:val="en-IE"/>
        </w:rPr>
        <w:t xml:space="preserve"> readily achiev</w:t>
      </w:r>
      <w:r w:rsidR="00E9545C" w:rsidRPr="00A81AFE">
        <w:rPr>
          <w:lang w:val="en-IE"/>
        </w:rPr>
        <w:t>ed</w:t>
      </w:r>
      <w:r w:rsidRPr="00A81AFE">
        <w:rPr>
          <w:lang w:val="en-IE"/>
        </w:rPr>
        <w:t xml:space="preserve"> by producers of alternatives, given that some of those alternatives are likely to contain lead as an impurity.</w:t>
      </w:r>
    </w:p>
    <w:p w14:paraId="101B13B9" w14:textId="77777777" w:rsidR="00A91D6B" w:rsidRPr="00A81AFE" w:rsidRDefault="00357EE2" w:rsidP="00FD24FC">
      <w:pPr>
        <w:pStyle w:val="Considrant"/>
        <w:rPr>
          <w:lang w:val="en-IE"/>
        </w:rPr>
      </w:pPr>
      <w:bookmarkStart w:id="4" w:name="_Hlk175153234"/>
      <w:r w:rsidRPr="00A81AFE">
        <w:rPr>
          <w:lang w:val="en-IE"/>
        </w:rPr>
        <w:t xml:space="preserve">The Commission took note </w:t>
      </w:r>
      <w:r w:rsidR="00CF50E3" w:rsidRPr="00A81AFE">
        <w:rPr>
          <w:lang w:val="en-IE"/>
        </w:rPr>
        <w:t>of</w:t>
      </w:r>
      <w:r w:rsidRPr="00A81AFE">
        <w:rPr>
          <w:lang w:val="en-IE"/>
        </w:rPr>
        <w:t xml:space="preserve"> </w:t>
      </w:r>
      <w:r w:rsidR="00964B5E" w:rsidRPr="00A81AFE">
        <w:rPr>
          <w:lang w:val="en-IE"/>
        </w:rPr>
        <w:t xml:space="preserve">the </w:t>
      </w:r>
      <w:r w:rsidRPr="00A81AFE">
        <w:rPr>
          <w:lang w:val="en-IE"/>
        </w:rPr>
        <w:t xml:space="preserve">RAC and SEAC </w:t>
      </w:r>
      <w:r w:rsidRPr="00A81AFE">
        <w:t>opinion</w:t>
      </w:r>
      <w:r w:rsidR="00550803" w:rsidRPr="00A81AFE">
        <w:t>s</w:t>
      </w:r>
      <w:r w:rsidRPr="00A81AFE">
        <w:t xml:space="preserve"> </w:t>
      </w:r>
      <w:r w:rsidRPr="00A81AFE">
        <w:rPr>
          <w:lang w:val="en-IE"/>
        </w:rPr>
        <w:t xml:space="preserve">that </w:t>
      </w:r>
      <w:r w:rsidR="00CF50E3" w:rsidRPr="00A81AFE">
        <w:rPr>
          <w:lang w:val="en-IE"/>
        </w:rPr>
        <w:t xml:space="preserve">the </w:t>
      </w:r>
      <w:r w:rsidRPr="00A81AFE">
        <w:rPr>
          <w:lang w:val="en-IE"/>
        </w:rPr>
        <w:t>transition</w:t>
      </w:r>
      <w:r w:rsidR="00CF50E3" w:rsidRPr="00A81AFE">
        <w:rPr>
          <w:lang w:val="en-IE"/>
        </w:rPr>
        <w:t>al</w:t>
      </w:r>
      <w:r w:rsidRPr="00A81AFE">
        <w:rPr>
          <w:lang w:val="en-IE"/>
        </w:rPr>
        <w:t xml:space="preserve"> period </w:t>
      </w:r>
      <w:r w:rsidR="00CF50E3" w:rsidRPr="00A81AFE">
        <w:rPr>
          <w:lang w:val="en-IE"/>
        </w:rPr>
        <w:t xml:space="preserve">for the restriction on the use of lead gunshot in hunting should be shorter </w:t>
      </w:r>
      <w:r w:rsidRPr="00A81AFE">
        <w:rPr>
          <w:lang w:val="en-IE"/>
        </w:rPr>
        <w:t>tha</w:t>
      </w:r>
      <w:r w:rsidR="00CF50E3" w:rsidRPr="00A81AFE">
        <w:rPr>
          <w:lang w:val="en-IE"/>
        </w:rPr>
        <w:t>n</w:t>
      </w:r>
      <w:r w:rsidRPr="00A81AFE">
        <w:rPr>
          <w:lang w:val="en-IE"/>
        </w:rPr>
        <w:t xml:space="preserve"> the </w:t>
      </w:r>
      <w:r w:rsidR="00D6262B" w:rsidRPr="00A81AFE">
        <w:t>five</w:t>
      </w:r>
      <w:r w:rsidR="00C80E83" w:rsidRPr="00A81AFE">
        <w:rPr>
          <w:lang w:val="en-IE"/>
        </w:rPr>
        <w:t xml:space="preserve"> </w:t>
      </w:r>
      <w:r w:rsidRPr="00A81AFE">
        <w:rPr>
          <w:lang w:val="en-IE"/>
        </w:rPr>
        <w:t>years proposed by the Agency</w:t>
      </w:r>
      <w:r w:rsidR="00CF50E3" w:rsidRPr="00A81AFE">
        <w:rPr>
          <w:lang w:val="en-IE"/>
        </w:rPr>
        <w:t xml:space="preserve">, but not shorter than 18 months. The Commission agrees </w:t>
      </w:r>
      <w:r w:rsidR="000D334D" w:rsidRPr="00A81AFE">
        <w:t>with SEAC and RAC</w:t>
      </w:r>
      <w:r w:rsidR="009A6B9A" w:rsidRPr="00A81AFE">
        <w:t xml:space="preserve"> </w:t>
      </w:r>
      <w:r w:rsidR="00CF50E3" w:rsidRPr="00A81AFE">
        <w:rPr>
          <w:lang w:val="en-IE"/>
        </w:rPr>
        <w:t xml:space="preserve">that sufficient production volumes of alternative ammunition to replace lead gunshot in hunting can be achieved sooner than </w:t>
      </w:r>
      <w:r w:rsidR="0090016C" w:rsidRPr="00A81AFE">
        <w:t>five</w:t>
      </w:r>
      <w:r w:rsidR="00C80E83" w:rsidRPr="00A81AFE">
        <w:rPr>
          <w:lang w:val="en-IE"/>
        </w:rPr>
        <w:t xml:space="preserve"> </w:t>
      </w:r>
      <w:r w:rsidR="00CF50E3" w:rsidRPr="00A81AFE">
        <w:rPr>
          <w:lang w:val="en-IE"/>
        </w:rPr>
        <w:t>years</w:t>
      </w:r>
      <w:r w:rsidR="0013133F" w:rsidRPr="00A81AFE">
        <w:rPr>
          <w:lang w:val="en-IE"/>
        </w:rPr>
        <w:t>.</w:t>
      </w:r>
      <w:r w:rsidR="00B849AD" w:rsidRPr="00A81AFE">
        <w:rPr>
          <w:lang w:val="en-IE"/>
        </w:rPr>
        <w:t xml:space="preserve"> </w:t>
      </w:r>
      <w:r w:rsidR="0013133F" w:rsidRPr="00A81AFE">
        <w:rPr>
          <w:lang w:val="en-IE"/>
        </w:rPr>
        <w:t>However, it</w:t>
      </w:r>
      <w:r w:rsidR="00B849AD" w:rsidRPr="00A81AFE">
        <w:rPr>
          <w:lang w:val="en-IE"/>
        </w:rPr>
        <w:t xml:space="preserve"> </w:t>
      </w:r>
      <w:r w:rsidR="005B3667" w:rsidRPr="00A81AFE">
        <w:t>has doubts as to</w:t>
      </w:r>
      <w:r w:rsidR="00167250" w:rsidRPr="00A81AFE">
        <w:t xml:space="preserve"> </w:t>
      </w:r>
      <w:r w:rsidR="00C80E83" w:rsidRPr="00A81AFE">
        <w:t>whether</w:t>
      </w:r>
      <w:r w:rsidR="00C80E83" w:rsidRPr="00A81AFE">
        <w:rPr>
          <w:lang w:val="en-IE"/>
        </w:rPr>
        <w:t xml:space="preserve"> </w:t>
      </w:r>
      <w:r w:rsidR="008B28CD" w:rsidRPr="00A81AFE">
        <w:rPr>
          <w:lang w:val="en-IE"/>
        </w:rPr>
        <w:t>a transitional period of</w:t>
      </w:r>
      <w:r w:rsidR="008B28CD" w:rsidRPr="00A81AFE">
        <w:t xml:space="preserve"> </w:t>
      </w:r>
      <w:r w:rsidR="00B849AD" w:rsidRPr="00A81AFE">
        <w:rPr>
          <w:lang w:val="en-IE"/>
        </w:rPr>
        <w:t xml:space="preserve">18 months </w:t>
      </w:r>
      <w:r w:rsidR="0013133F" w:rsidRPr="00A81AFE">
        <w:rPr>
          <w:lang w:val="en-IE"/>
        </w:rPr>
        <w:t xml:space="preserve">would be </w:t>
      </w:r>
      <w:r w:rsidR="00167250" w:rsidRPr="00A81AFE">
        <w:t>sufficient</w:t>
      </w:r>
      <w:r w:rsidR="00167250" w:rsidRPr="00A81AFE">
        <w:rPr>
          <w:lang w:val="en-IE"/>
        </w:rPr>
        <w:t xml:space="preserve"> </w:t>
      </w:r>
      <w:r w:rsidR="00C80E83" w:rsidRPr="00A81AFE">
        <w:rPr>
          <w:lang w:val="en-IE"/>
        </w:rPr>
        <w:t xml:space="preserve">for manufacturers </w:t>
      </w:r>
      <w:r w:rsidR="00B849AD" w:rsidRPr="00A81AFE">
        <w:rPr>
          <w:lang w:val="en-IE"/>
        </w:rPr>
        <w:t xml:space="preserve">to scale up </w:t>
      </w:r>
      <w:r w:rsidR="00AF0B2E" w:rsidRPr="00A81AFE">
        <w:rPr>
          <w:lang w:val="en-IE"/>
        </w:rPr>
        <w:t xml:space="preserve">their </w:t>
      </w:r>
      <w:r w:rsidR="00B849AD" w:rsidRPr="00A81AFE">
        <w:rPr>
          <w:lang w:val="en-IE"/>
        </w:rPr>
        <w:t xml:space="preserve">production </w:t>
      </w:r>
      <w:r w:rsidR="00F01A47" w:rsidRPr="00A81AFE">
        <w:rPr>
          <w:lang w:val="en-IE"/>
        </w:rPr>
        <w:t>of alternative ammunition</w:t>
      </w:r>
      <w:r w:rsidR="00CF50E3" w:rsidRPr="00A81AFE">
        <w:rPr>
          <w:lang w:val="en-IE"/>
        </w:rPr>
        <w:t xml:space="preserve">. </w:t>
      </w:r>
      <w:r w:rsidR="00C9565C" w:rsidRPr="00A81AFE">
        <w:rPr>
          <w:lang w:val="en-IE"/>
        </w:rPr>
        <w:t>It t</w:t>
      </w:r>
      <w:r w:rsidR="00CF50E3" w:rsidRPr="00A81AFE">
        <w:rPr>
          <w:lang w:val="en-IE"/>
        </w:rPr>
        <w:t xml:space="preserve">herefore </w:t>
      </w:r>
      <w:r w:rsidR="00C9565C" w:rsidRPr="00A81AFE">
        <w:rPr>
          <w:lang w:val="en-IE"/>
        </w:rPr>
        <w:t>considers</w:t>
      </w:r>
      <w:r w:rsidR="00CF50E3" w:rsidRPr="00A81AFE">
        <w:rPr>
          <w:lang w:val="en-IE"/>
        </w:rPr>
        <w:t xml:space="preserve"> </w:t>
      </w:r>
      <w:r w:rsidR="00B849AD" w:rsidRPr="00A81AFE">
        <w:rPr>
          <w:lang w:val="en-IE"/>
        </w:rPr>
        <w:t xml:space="preserve">a </w:t>
      </w:r>
      <w:r w:rsidR="00427A66" w:rsidRPr="00A81AFE">
        <w:t>three</w:t>
      </w:r>
      <w:r w:rsidR="00D74453" w:rsidRPr="00A81AFE">
        <w:t>-</w:t>
      </w:r>
      <w:r w:rsidR="00B849AD" w:rsidRPr="00A81AFE">
        <w:rPr>
          <w:lang w:val="en-IE"/>
        </w:rPr>
        <w:t>year</w:t>
      </w:r>
      <w:r w:rsidR="00CF50E3" w:rsidRPr="00A81AFE">
        <w:rPr>
          <w:lang w:val="en-IE"/>
        </w:rPr>
        <w:t xml:space="preserve"> transitional period </w:t>
      </w:r>
      <w:r w:rsidR="00AF0B2E" w:rsidRPr="00A81AFE">
        <w:rPr>
          <w:lang w:val="en-IE"/>
        </w:rPr>
        <w:t xml:space="preserve">to be </w:t>
      </w:r>
      <w:r w:rsidR="00B849AD" w:rsidRPr="00A81AFE">
        <w:rPr>
          <w:lang w:val="en-IE"/>
        </w:rPr>
        <w:t>appropriate</w:t>
      </w:r>
      <w:r w:rsidR="00CF50E3" w:rsidRPr="00A81AFE">
        <w:rPr>
          <w:lang w:val="en-IE"/>
        </w:rPr>
        <w:t>.</w:t>
      </w:r>
      <w:r w:rsidR="006827C0" w:rsidRPr="00A81AFE">
        <w:rPr>
          <w:lang w:val="en-IE"/>
        </w:rPr>
        <w:t xml:space="preserve"> The Commission </w:t>
      </w:r>
      <w:r w:rsidR="0013133F" w:rsidRPr="00A81AFE">
        <w:rPr>
          <w:lang w:val="en-IE"/>
        </w:rPr>
        <w:t xml:space="preserve">also </w:t>
      </w:r>
      <w:r w:rsidR="006827C0" w:rsidRPr="00A81AFE">
        <w:rPr>
          <w:lang w:val="en-IE"/>
        </w:rPr>
        <w:t xml:space="preserve">considers that the definition of gunshot should include both pellets and slugs for the purpose of this restriction </w:t>
      </w:r>
      <w:r w:rsidR="00AF0B2E" w:rsidRPr="00A81AFE">
        <w:rPr>
          <w:lang w:val="en-IE"/>
        </w:rPr>
        <w:t xml:space="preserve">because </w:t>
      </w:r>
      <w:r w:rsidR="006827C0" w:rsidRPr="00A81AFE">
        <w:rPr>
          <w:lang w:val="en-IE"/>
        </w:rPr>
        <w:t xml:space="preserve">both </w:t>
      </w:r>
      <w:r w:rsidR="00AF0B2E" w:rsidRPr="00A81AFE">
        <w:rPr>
          <w:lang w:val="en-IE"/>
        </w:rPr>
        <w:t>can be</w:t>
      </w:r>
      <w:r w:rsidR="006827C0" w:rsidRPr="00A81AFE">
        <w:rPr>
          <w:lang w:val="en-IE"/>
        </w:rPr>
        <w:t xml:space="preserve"> discharged from a shotgun.</w:t>
      </w:r>
      <w:r w:rsidR="005348EE" w:rsidRPr="00A81AFE">
        <w:rPr>
          <w:lang w:val="en-IE"/>
        </w:rPr>
        <w:t xml:space="preserve"> </w:t>
      </w:r>
    </w:p>
    <w:p w14:paraId="79D064C3" w14:textId="77777777" w:rsidR="00152E26" w:rsidRPr="00A81AFE" w:rsidRDefault="00357EE2" w:rsidP="00152E26">
      <w:pPr>
        <w:pStyle w:val="Considrant"/>
      </w:pPr>
      <w:r w:rsidRPr="00A81AFE">
        <w:rPr>
          <w:lang w:val="en-IE"/>
        </w:rPr>
        <w:lastRenderedPageBreak/>
        <w:t>T</w:t>
      </w:r>
      <w:r w:rsidR="00152E26" w:rsidRPr="00A81AFE">
        <w:rPr>
          <w:lang w:val="en-IE"/>
        </w:rPr>
        <w:t xml:space="preserve">he Commission concurs with SEAC that a ban on carrying lead </w:t>
      </w:r>
      <w:r w:rsidR="004C5644" w:rsidRPr="00A81AFE">
        <w:rPr>
          <w:lang w:val="en-IE"/>
        </w:rPr>
        <w:t>gunshot and bullets</w:t>
      </w:r>
      <w:r w:rsidR="00152E26" w:rsidRPr="00A81AFE">
        <w:rPr>
          <w:lang w:val="en-IE"/>
        </w:rPr>
        <w:t xml:space="preserve"> is necessary </w:t>
      </w:r>
      <w:r w:rsidR="00AF0B2E" w:rsidRPr="00A81AFE">
        <w:rPr>
          <w:lang w:val="en-IE"/>
        </w:rPr>
        <w:t xml:space="preserve">in order </w:t>
      </w:r>
      <w:r w:rsidR="00152E26" w:rsidRPr="00A81AFE">
        <w:rPr>
          <w:lang w:val="en-IE"/>
        </w:rPr>
        <w:t>to facilitate enforcement</w:t>
      </w:r>
      <w:r w:rsidR="00D6262B" w:rsidRPr="00A81AFE">
        <w:t xml:space="preserve"> of</w:t>
      </w:r>
      <w:r w:rsidR="007038C0" w:rsidRPr="00A81AFE">
        <w:t xml:space="preserve"> the restriction on ammunition and fishing tackle containing a concentration of lead equal to or greater than 1% by weight</w:t>
      </w:r>
      <w:r w:rsidR="00152E26" w:rsidRPr="00A81AFE">
        <w:t xml:space="preserve">. </w:t>
      </w:r>
    </w:p>
    <w:p w14:paraId="4AB694C2" w14:textId="77777777" w:rsidR="00152E26" w:rsidRPr="00A81AFE" w:rsidRDefault="00152E26" w:rsidP="0061783E">
      <w:pPr>
        <w:pStyle w:val="Considrant"/>
        <w:rPr>
          <w:lang w:val="en-IE"/>
        </w:rPr>
      </w:pPr>
      <w:r w:rsidRPr="00A81AFE">
        <w:rPr>
          <w:lang w:val="en-IE"/>
        </w:rPr>
        <w:t xml:space="preserve">The Commission considers that the ban on the use for hunting of </w:t>
      </w:r>
      <w:r w:rsidR="00FB38A7" w:rsidRPr="00A81AFE">
        <w:rPr>
          <w:lang w:val="en-IE"/>
        </w:rPr>
        <w:t xml:space="preserve">lead </w:t>
      </w:r>
      <w:r w:rsidRPr="00A81AFE">
        <w:rPr>
          <w:lang w:val="en-IE"/>
        </w:rPr>
        <w:t xml:space="preserve">centrefire bullets </w:t>
      </w:r>
      <w:r w:rsidR="00AF0B2E" w:rsidRPr="00A81AFE">
        <w:rPr>
          <w:lang w:val="en-IE"/>
        </w:rPr>
        <w:t xml:space="preserve">with </w:t>
      </w:r>
      <w:r w:rsidRPr="00A81AFE">
        <w:rPr>
          <w:lang w:val="en-IE"/>
        </w:rPr>
        <w:t>calibres smaller than 5</w:t>
      </w:r>
      <w:r w:rsidR="008A170A" w:rsidRPr="00A81AFE">
        <w:rPr>
          <w:lang w:val="en-IE"/>
        </w:rPr>
        <w:t>.</w:t>
      </w:r>
      <w:r w:rsidRPr="00A81AFE">
        <w:rPr>
          <w:lang w:val="en-IE"/>
        </w:rPr>
        <w:t>6</w:t>
      </w:r>
      <w:r w:rsidR="00764390" w:rsidRPr="00A81AFE">
        <w:rPr>
          <w:lang w:val="en-IE"/>
        </w:rPr>
        <w:t> mm</w:t>
      </w:r>
      <w:r w:rsidRPr="00A81AFE">
        <w:rPr>
          <w:lang w:val="en-IE"/>
        </w:rPr>
        <w:t xml:space="preserve">, and of </w:t>
      </w:r>
      <w:r w:rsidR="00FB38A7" w:rsidRPr="00A81AFE">
        <w:rPr>
          <w:lang w:val="en-IE"/>
        </w:rPr>
        <w:t xml:space="preserve">lead </w:t>
      </w:r>
      <w:r w:rsidRPr="00A81AFE">
        <w:rPr>
          <w:lang w:val="en-IE"/>
        </w:rPr>
        <w:t xml:space="preserve">rimfire bullets of any calibre, should </w:t>
      </w:r>
      <w:r w:rsidR="00AF0B2E" w:rsidRPr="00A81AFE">
        <w:rPr>
          <w:lang w:val="en-IE"/>
        </w:rPr>
        <w:t>apply</w:t>
      </w:r>
      <w:r w:rsidRPr="00A81AFE">
        <w:rPr>
          <w:lang w:val="en-IE"/>
        </w:rPr>
        <w:t xml:space="preserve"> after a transitional period of 10 years</w:t>
      </w:r>
      <w:r w:rsidR="00AF0B2E" w:rsidRPr="00A81AFE">
        <w:rPr>
          <w:lang w:val="en-IE"/>
        </w:rPr>
        <w:t xml:space="preserve"> (</w:t>
      </w:r>
      <w:r w:rsidR="00C9565C" w:rsidRPr="00A81AFE">
        <w:rPr>
          <w:lang w:val="en-IE"/>
        </w:rPr>
        <w:t xml:space="preserve">rather than </w:t>
      </w:r>
      <w:r w:rsidR="00AF0B2E" w:rsidRPr="00A81AFE">
        <w:rPr>
          <w:lang w:val="en-IE"/>
        </w:rPr>
        <w:t xml:space="preserve">the </w:t>
      </w:r>
      <w:r w:rsidR="009F0CB9" w:rsidRPr="00A81AFE">
        <w:t>five</w:t>
      </w:r>
      <w:r w:rsidR="009F0CB9" w:rsidRPr="00A81AFE">
        <w:rPr>
          <w:lang w:val="en-IE"/>
        </w:rPr>
        <w:t xml:space="preserve"> </w:t>
      </w:r>
      <w:r w:rsidR="00C9565C" w:rsidRPr="00A81AFE">
        <w:rPr>
          <w:lang w:val="en-IE"/>
        </w:rPr>
        <w:t>years recommended by the Agency</w:t>
      </w:r>
      <w:r w:rsidR="00AF0B2E" w:rsidRPr="00A81AFE">
        <w:rPr>
          <w:lang w:val="en-IE"/>
        </w:rPr>
        <w:t>)</w:t>
      </w:r>
      <w:r w:rsidR="008A170A" w:rsidRPr="00A81AFE">
        <w:rPr>
          <w:lang w:val="en-IE"/>
        </w:rPr>
        <w:t xml:space="preserve">. This </w:t>
      </w:r>
      <w:r w:rsidR="00AF0B2E" w:rsidRPr="00A81AFE">
        <w:rPr>
          <w:lang w:val="en-IE"/>
        </w:rPr>
        <w:t>would</w:t>
      </w:r>
      <w:r w:rsidRPr="00A81AFE">
        <w:rPr>
          <w:lang w:val="en-IE"/>
        </w:rPr>
        <w:t xml:space="preserve"> allow </w:t>
      </w:r>
      <w:r w:rsidR="00C9565C" w:rsidRPr="00A81AFE">
        <w:rPr>
          <w:lang w:val="en-IE"/>
        </w:rPr>
        <w:t xml:space="preserve">more time for </w:t>
      </w:r>
      <w:r w:rsidRPr="00A81AFE">
        <w:rPr>
          <w:lang w:val="en-IE"/>
        </w:rPr>
        <w:t xml:space="preserve">the development and testing of alternatives, </w:t>
      </w:r>
      <w:r w:rsidR="009927AE" w:rsidRPr="00A81AFE">
        <w:t xml:space="preserve">which is </w:t>
      </w:r>
      <w:r w:rsidRPr="00A81AFE">
        <w:rPr>
          <w:lang w:val="en-IE"/>
        </w:rPr>
        <w:t xml:space="preserve">currently lacking. However, </w:t>
      </w:r>
      <w:r w:rsidR="00AF0B2E" w:rsidRPr="00A81AFE">
        <w:rPr>
          <w:lang w:val="en-IE"/>
        </w:rPr>
        <w:t xml:space="preserve">alternatives to lead are already widely available </w:t>
      </w:r>
      <w:r w:rsidRPr="00A81AFE">
        <w:rPr>
          <w:lang w:val="en-IE"/>
        </w:rPr>
        <w:t xml:space="preserve">for centrefire bullets </w:t>
      </w:r>
      <w:r w:rsidR="00AF0B2E" w:rsidRPr="00A81AFE">
        <w:rPr>
          <w:lang w:val="en-IE"/>
        </w:rPr>
        <w:t xml:space="preserve">with </w:t>
      </w:r>
      <w:r w:rsidRPr="00A81AFE">
        <w:rPr>
          <w:lang w:val="en-IE"/>
        </w:rPr>
        <w:t>calibres larger than 5</w:t>
      </w:r>
      <w:r w:rsidR="008A170A" w:rsidRPr="00A81AFE">
        <w:rPr>
          <w:lang w:val="en-IE"/>
        </w:rPr>
        <w:t>.</w:t>
      </w:r>
      <w:r w:rsidRPr="00A81AFE">
        <w:rPr>
          <w:lang w:val="en-IE"/>
        </w:rPr>
        <w:t>6</w:t>
      </w:r>
      <w:r w:rsidR="00764390" w:rsidRPr="00A81AFE">
        <w:rPr>
          <w:lang w:val="en-IE"/>
        </w:rPr>
        <w:t> mm</w:t>
      </w:r>
      <w:r w:rsidRPr="00A81AFE">
        <w:rPr>
          <w:lang w:val="en-IE"/>
        </w:rPr>
        <w:t xml:space="preserve">. </w:t>
      </w:r>
      <w:r w:rsidR="00AF0B2E" w:rsidRPr="00A81AFE">
        <w:rPr>
          <w:lang w:val="en-IE"/>
        </w:rPr>
        <w:t>A</w:t>
      </w:r>
      <w:r w:rsidRPr="00A81AFE">
        <w:rPr>
          <w:lang w:val="en-IE"/>
        </w:rPr>
        <w:t xml:space="preserve"> </w:t>
      </w:r>
      <w:r w:rsidR="00D2192A" w:rsidRPr="00A81AFE">
        <w:t>deferred application</w:t>
      </w:r>
      <w:r w:rsidRPr="00A81AFE">
        <w:rPr>
          <w:lang w:val="en-IE"/>
        </w:rPr>
        <w:t xml:space="preserve"> period of 18</w:t>
      </w:r>
      <w:r w:rsidRPr="00A81AFE">
        <w:rPr>
          <w:vertAlign w:val="superscript"/>
          <w:lang w:val="en-IE"/>
        </w:rPr>
        <w:t xml:space="preserve"> </w:t>
      </w:r>
      <w:r w:rsidRPr="00A81AFE">
        <w:rPr>
          <w:lang w:val="en-IE"/>
        </w:rPr>
        <w:t>months</w:t>
      </w:r>
      <w:r w:rsidR="00AF0B2E" w:rsidRPr="00A81AFE">
        <w:rPr>
          <w:lang w:val="en-IE"/>
        </w:rPr>
        <w:t xml:space="preserve"> (</w:t>
      </w:r>
      <w:r w:rsidRPr="00A81AFE">
        <w:rPr>
          <w:lang w:val="en-IE"/>
        </w:rPr>
        <w:t>as recommended by</w:t>
      </w:r>
      <w:r w:rsidR="008A170A" w:rsidRPr="00A81AFE">
        <w:rPr>
          <w:lang w:val="en-IE"/>
        </w:rPr>
        <w:t xml:space="preserve"> </w:t>
      </w:r>
      <w:r w:rsidRPr="00A81AFE">
        <w:rPr>
          <w:lang w:val="en-IE"/>
        </w:rPr>
        <w:t>RAC and SEAC</w:t>
      </w:r>
      <w:r w:rsidR="00AF0B2E" w:rsidRPr="00A81AFE">
        <w:rPr>
          <w:lang w:val="en-IE"/>
        </w:rPr>
        <w:t>)</w:t>
      </w:r>
      <w:r w:rsidRPr="00A81AFE">
        <w:rPr>
          <w:lang w:val="en-IE"/>
        </w:rPr>
        <w:t xml:space="preserve"> is </w:t>
      </w:r>
      <w:r w:rsidR="00AF0B2E" w:rsidRPr="00A81AFE">
        <w:rPr>
          <w:lang w:val="en-IE"/>
        </w:rPr>
        <w:t>therefore</w:t>
      </w:r>
      <w:r w:rsidRPr="00A81AFE">
        <w:rPr>
          <w:lang w:val="en-IE"/>
        </w:rPr>
        <w:t xml:space="preserve"> considered sufficient for operators and the public to adapt to the new rules. </w:t>
      </w:r>
      <w:r w:rsidR="00732DE8" w:rsidRPr="00A81AFE">
        <w:rPr>
          <w:lang w:val="en-IE"/>
        </w:rPr>
        <w:t xml:space="preserve">Furthermore, the Commission does not consider </w:t>
      </w:r>
      <w:r w:rsidR="008A170A" w:rsidRPr="00A81AFE">
        <w:rPr>
          <w:lang w:val="en-IE"/>
        </w:rPr>
        <w:t xml:space="preserve">it </w:t>
      </w:r>
      <w:r w:rsidR="00732DE8" w:rsidRPr="00A81AFE">
        <w:rPr>
          <w:lang w:val="en-IE"/>
        </w:rPr>
        <w:t xml:space="preserve">justified to </w:t>
      </w:r>
      <w:r w:rsidR="00611399" w:rsidRPr="00A81AFE">
        <w:rPr>
          <w:lang w:val="en-IE"/>
        </w:rPr>
        <w:t>subject</w:t>
      </w:r>
      <w:r w:rsidR="00732DE8" w:rsidRPr="00A81AFE">
        <w:rPr>
          <w:lang w:val="en-IE"/>
        </w:rPr>
        <w:t xml:space="preserve"> airgun pellets</w:t>
      </w:r>
      <w:r w:rsidR="007A2C8C" w:rsidRPr="00A81AFE">
        <w:rPr>
          <w:lang w:val="en-IE"/>
        </w:rPr>
        <w:t xml:space="preserve"> used for hunting or sport</w:t>
      </w:r>
      <w:r w:rsidR="00764390" w:rsidRPr="00A81AFE">
        <w:rPr>
          <w:lang w:val="en-IE"/>
        </w:rPr>
        <w:t>s</w:t>
      </w:r>
      <w:r w:rsidR="007A2C8C" w:rsidRPr="00A81AFE">
        <w:rPr>
          <w:lang w:val="en-IE"/>
        </w:rPr>
        <w:t xml:space="preserve"> shooting</w:t>
      </w:r>
      <w:r w:rsidR="00611399" w:rsidRPr="00A81AFE">
        <w:rPr>
          <w:lang w:val="en-IE"/>
        </w:rPr>
        <w:t xml:space="preserve"> to th</w:t>
      </w:r>
      <w:r w:rsidR="00AF0B2E" w:rsidRPr="00A81AFE">
        <w:rPr>
          <w:lang w:val="en-IE"/>
        </w:rPr>
        <w:t xml:space="preserve">is </w:t>
      </w:r>
      <w:r w:rsidR="00027F3E" w:rsidRPr="00A81AFE">
        <w:rPr>
          <w:lang w:val="en-IE"/>
        </w:rPr>
        <w:t>restriction</w:t>
      </w:r>
      <w:r w:rsidR="00F81854" w:rsidRPr="00A81AFE">
        <w:rPr>
          <w:lang w:val="en-IE"/>
        </w:rPr>
        <w:t>.</w:t>
      </w:r>
      <w:r w:rsidR="00732DE8" w:rsidRPr="00A81AFE">
        <w:rPr>
          <w:lang w:val="en-IE"/>
        </w:rPr>
        <w:t xml:space="preserve"> Alternative</w:t>
      </w:r>
      <w:r w:rsidR="00BE4A58" w:rsidRPr="00A81AFE">
        <w:rPr>
          <w:lang w:val="en-IE"/>
        </w:rPr>
        <w:t>s to lead airgun pellets</w:t>
      </w:r>
      <w:r w:rsidR="00732DE8" w:rsidRPr="00A81AFE">
        <w:rPr>
          <w:lang w:val="en-IE"/>
        </w:rPr>
        <w:t xml:space="preserve"> are available</w:t>
      </w:r>
      <w:r w:rsidR="00B978FC" w:rsidRPr="00A81AFE">
        <w:rPr>
          <w:lang w:val="en-IE"/>
        </w:rPr>
        <w:t xml:space="preserve"> </w:t>
      </w:r>
      <w:r w:rsidR="00AF0B2E" w:rsidRPr="00A81AFE">
        <w:rPr>
          <w:lang w:val="en-IE"/>
        </w:rPr>
        <w:t xml:space="preserve">only </w:t>
      </w:r>
      <w:r w:rsidR="00B978FC" w:rsidRPr="00A81AFE">
        <w:rPr>
          <w:lang w:val="en-IE"/>
        </w:rPr>
        <w:t xml:space="preserve">in low quantities, </w:t>
      </w:r>
      <w:r w:rsidR="00BE4A58" w:rsidRPr="00A81AFE">
        <w:rPr>
          <w:lang w:val="en-IE"/>
        </w:rPr>
        <w:t xml:space="preserve">lack precision and </w:t>
      </w:r>
      <w:r w:rsidR="00AF0B2E" w:rsidRPr="00A81AFE">
        <w:rPr>
          <w:lang w:val="en-IE"/>
        </w:rPr>
        <w:t>cost</w:t>
      </w:r>
      <w:r w:rsidR="007A2C8C" w:rsidRPr="00A81AFE">
        <w:rPr>
          <w:lang w:val="en-IE"/>
        </w:rPr>
        <w:t xml:space="preserve"> up to four times </w:t>
      </w:r>
      <w:r w:rsidR="00AF0B2E" w:rsidRPr="00A81AFE">
        <w:rPr>
          <w:lang w:val="en-IE"/>
        </w:rPr>
        <w:t xml:space="preserve">more </w:t>
      </w:r>
      <w:r w:rsidR="008A170A" w:rsidRPr="00A81AFE">
        <w:rPr>
          <w:lang w:val="en-IE"/>
        </w:rPr>
        <w:t>than</w:t>
      </w:r>
      <w:r w:rsidR="00732DE8" w:rsidRPr="00A81AFE">
        <w:rPr>
          <w:lang w:val="en-IE"/>
        </w:rPr>
        <w:t xml:space="preserve"> lead</w:t>
      </w:r>
      <w:r w:rsidR="00BE4A58" w:rsidRPr="00A81AFE">
        <w:rPr>
          <w:lang w:val="en-IE"/>
        </w:rPr>
        <w:t xml:space="preserve"> </w:t>
      </w:r>
      <w:r w:rsidR="002908CD" w:rsidRPr="00A81AFE">
        <w:rPr>
          <w:lang w:val="en-IE"/>
        </w:rPr>
        <w:t xml:space="preserve">airgun </w:t>
      </w:r>
      <w:r w:rsidR="00BE4A58" w:rsidRPr="00A81AFE">
        <w:rPr>
          <w:lang w:val="en-IE"/>
        </w:rPr>
        <w:t>pellets</w:t>
      </w:r>
      <w:r w:rsidR="00732DE8" w:rsidRPr="00A81AFE">
        <w:rPr>
          <w:lang w:val="en-IE"/>
        </w:rPr>
        <w:t>.</w:t>
      </w:r>
      <w:r w:rsidR="00BE4A58" w:rsidRPr="00A81AFE">
        <w:rPr>
          <w:lang w:val="en-IE"/>
        </w:rPr>
        <w:t xml:space="preserve"> In addition, </w:t>
      </w:r>
      <w:r w:rsidR="007A2C8C" w:rsidRPr="00A81AFE">
        <w:rPr>
          <w:lang w:val="en-IE"/>
        </w:rPr>
        <w:t>both the Agency and RAC agreed that a restriction on lead pellets used in air</w:t>
      </w:r>
      <w:r w:rsidR="00FC702A" w:rsidRPr="00A81AFE">
        <w:rPr>
          <w:lang w:val="en-IE"/>
        </w:rPr>
        <w:t>guns</w:t>
      </w:r>
      <w:r w:rsidR="007A2C8C" w:rsidRPr="00A81AFE">
        <w:rPr>
          <w:lang w:val="en-IE"/>
        </w:rPr>
        <w:t xml:space="preserve"> would </w:t>
      </w:r>
      <w:r w:rsidR="00AF0B2E" w:rsidRPr="00A81AFE">
        <w:rPr>
          <w:lang w:val="en-IE"/>
        </w:rPr>
        <w:t xml:space="preserve">only marginally </w:t>
      </w:r>
      <w:r w:rsidR="0032182B" w:rsidRPr="00A81AFE">
        <w:rPr>
          <w:lang w:val="en-IE"/>
        </w:rPr>
        <w:t>reduce</w:t>
      </w:r>
      <w:r w:rsidR="008A170A" w:rsidRPr="00A81AFE">
        <w:rPr>
          <w:lang w:val="en-IE"/>
        </w:rPr>
        <w:t xml:space="preserve"> </w:t>
      </w:r>
      <w:r w:rsidR="007A2C8C" w:rsidRPr="00A81AFE">
        <w:rPr>
          <w:lang w:val="en-IE"/>
        </w:rPr>
        <w:t>lead emissions</w:t>
      </w:r>
      <w:r w:rsidR="006922C8" w:rsidRPr="00A81AFE">
        <w:rPr>
          <w:lang w:val="en-IE"/>
        </w:rPr>
        <w:t>.</w:t>
      </w:r>
      <w:r w:rsidR="008A170A" w:rsidRPr="00A81AFE">
        <w:rPr>
          <w:lang w:val="en-IE"/>
        </w:rPr>
        <w:t xml:space="preserve"> </w:t>
      </w:r>
      <w:r w:rsidR="006922C8" w:rsidRPr="00A81AFE">
        <w:rPr>
          <w:lang w:val="en-IE"/>
        </w:rPr>
        <w:t xml:space="preserve">It would also not decrease risks to people </w:t>
      </w:r>
      <w:r w:rsidR="008A170A" w:rsidRPr="00A81AFE">
        <w:rPr>
          <w:lang w:val="en-IE"/>
        </w:rPr>
        <w:t>because</w:t>
      </w:r>
      <w:r w:rsidR="0061783E" w:rsidRPr="00A81AFE">
        <w:rPr>
          <w:lang w:val="en-IE"/>
        </w:rPr>
        <w:t xml:space="preserve"> lead airgun pellets are mostly used to kill pests that are not eaten, so there is no Union-wide risk to humans from ingesting lead fragments</w:t>
      </w:r>
      <w:r w:rsidR="00554EEE" w:rsidRPr="00A81AFE">
        <w:rPr>
          <w:lang w:val="en-IE"/>
        </w:rPr>
        <w:t xml:space="preserve"> from airgun pellets</w:t>
      </w:r>
      <w:r w:rsidR="0061783E" w:rsidRPr="00A81AFE">
        <w:rPr>
          <w:lang w:val="en-IE"/>
        </w:rPr>
        <w:t>.</w:t>
      </w:r>
      <w:r w:rsidR="001A0ABB" w:rsidRPr="00A81AFE">
        <w:rPr>
          <w:lang w:val="en-IE"/>
        </w:rPr>
        <w:t xml:space="preserve"> </w:t>
      </w:r>
    </w:p>
    <w:p w14:paraId="5975C37F" w14:textId="77777777" w:rsidR="0093264D" w:rsidRPr="00A81AFE" w:rsidRDefault="00B978FC" w:rsidP="00FD24FC">
      <w:pPr>
        <w:pStyle w:val="Considrant"/>
        <w:rPr>
          <w:lang w:val="en-IE"/>
        </w:rPr>
      </w:pPr>
      <w:r w:rsidRPr="00A81AFE">
        <w:rPr>
          <w:lang w:val="en-IE"/>
        </w:rPr>
        <w:t xml:space="preserve">The Commission considers that the restriction on the placing on the market and use of fishing wires and drop-in sinkers </w:t>
      </w:r>
      <w:r w:rsidR="00B56AFF" w:rsidRPr="00A81AFE">
        <w:rPr>
          <w:lang w:val="en-IE"/>
        </w:rPr>
        <w:t xml:space="preserve">should </w:t>
      </w:r>
      <w:r w:rsidRPr="00A81AFE">
        <w:rPr>
          <w:lang w:val="en-IE"/>
        </w:rPr>
        <w:t>apply after a period of</w:t>
      </w:r>
      <w:r w:rsidR="00883D27" w:rsidRPr="00A81AFE">
        <w:t xml:space="preserve"> only</w:t>
      </w:r>
      <w:r w:rsidRPr="00A81AFE">
        <w:t xml:space="preserve"> </w:t>
      </w:r>
      <w:r w:rsidR="0059186B" w:rsidRPr="00A81AFE">
        <w:t>six</w:t>
      </w:r>
      <w:r w:rsidR="0093264D" w:rsidRPr="00A81AFE">
        <w:t xml:space="preserve"> </w:t>
      </w:r>
      <w:r w:rsidR="0093264D" w:rsidRPr="00A81AFE">
        <w:rPr>
          <w:lang w:val="en-IE"/>
        </w:rPr>
        <w:t>months</w:t>
      </w:r>
      <w:r w:rsidRPr="00A81AFE">
        <w:rPr>
          <w:lang w:val="en-IE"/>
        </w:rPr>
        <w:t>,</w:t>
      </w:r>
      <w:r w:rsidR="00804006" w:rsidRPr="00A81AFE">
        <w:rPr>
          <w:lang w:val="en-IE"/>
        </w:rPr>
        <w:t xml:space="preserve"> in order</w:t>
      </w:r>
      <w:r w:rsidRPr="00A81AFE">
        <w:rPr>
          <w:lang w:val="en-IE"/>
        </w:rPr>
        <w:t xml:space="preserve"> to </w:t>
      </w:r>
      <w:r w:rsidR="003976BF" w:rsidRPr="00A81AFE">
        <w:rPr>
          <w:lang w:val="en-IE"/>
        </w:rPr>
        <w:t xml:space="preserve">rapidly </w:t>
      </w:r>
      <w:r w:rsidR="008A170A" w:rsidRPr="00A81AFE">
        <w:rPr>
          <w:lang w:val="en-IE"/>
        </w:rPr>
        <w:t>prevent the</w:t>
      </w:r>
      <w:r w:rsidRPr="00A81AFE">
        <w:rPr>
          <w:lang w:val="en-IE"/>
        </w:rPr>
        <w:t xml:space="preserve"> direct </w:t>
      </w:r>
      <w:r w:rsidR="005A3D82" w:rsidRPr="00A81AFE">
        <w:rPr>
          <w:lang w:val="en-IE"/>
        </w:rPr>
        <w:t xml:space="preserve">and </w:t>
      </w:r>
      <w:r w:rsidR="00027F3E" w:rsidRPr="00A81AFE">
        <w:rPr>
          <w:lang w:val="en-IE"/>
        </w:rPr>
        <w:t>deliberate</w:t>
      </w:r>
      <w:r w:rsidR="005A3D82" w:rsidRPr="00A81AFE">
        <w:rPr>
          <w:lang w:val="en-IE"/>
        </w:rPr>
        <w:t xml:space="preserve"> </w:t>
      </w:r>
      <w:r w:rsidRPr="00A81AFE">
        <w:rPr>
          <w:lang w:val="en-IE"/>
        </w:rPr>
        <w:t>release of lead into the environment</w:t>
      </w:r>
      <w:r w:rsidR="003976BF" w:rsidRPr="00A81AFE">
        <w:rPr>
          <w:lang w:val="en-IE"/>
        </w:rPr>
        <w:t xml:space="preserve"> while still granting </w:t>
      </w:r>
      <w:r w:rsidR="006922C8" w:rsidRPr="00A81AFE">
        <w:rPr>
          <w:lang w:val="en-IE"/>
        </w:rPr>
        <w:t>sufficient</w:t>
      </w:r>
      <w:r w:rsidR="003976BF" w:rsidRPr="00A81AFE">
        <w:rPr>
          <w:lang w:val="en-IE"/>
        </w:rPr>
        <w:t xml:space="preserve"> time to operators to adapt to the restriction.</w:t>
      </w:r>
    </w:p>
    <w:p w14:paraId="15D9C3FE" w14:textId="77777777" w:rsidR="0093264D" w:rsidRPr="00A81AFE" w:rsidRDefault="00BB3A32" w:rsidP="00FD24FC">
      <w:pPr>
        <w:pStyle w:val="Considrant"/>
        <w:rPr>
          <w:lang w:val="en-IE"/>
        </w:rPr>
      </w:pPr>
      <w:r w:rsidRPr="00A81AFE">
        <w:t>The Commission</w:t>
      </w:r>
      <w:r w:rsidR="00B56AFF" w:rsidRPr="00A81AFE">
        <w:t xml:space="preserve"> a</w:t>
      </w:r>
      <w:r w:rsidR="00C9565C" w:rsidRPr="00A81AFE">
        <w:t>gree</w:t>
      </w:r>
      <w:r w:rsidR="003B651A" w:rsidRPr="00A81AFE">
        <w:t>s</w:t>
      </w:r>
      <w:r w:rsidR="00B56AFF" w:rsidRPr="00A81AFE">
        <w:t xml:space="preserve"> </w:t>
      </w:r>
      <w:r w:rsidR="00C9565C" w:rsidRPr="00A81AFE">
        <w:t xml:space="preserve">that a ban </w:t>
      </w:r>
      <w:r w:rsidR="003B651A" w:rsidRPr="00A81AFE">
        <w:t xml:space="preserve">on the placing on the market and use of </w:t>
      </w:r>
      <w:r w:rsidR="00C9565C" w:rsidRPr="00A81AFE">
        <w:t>lead gunshot for sport</w:t>
      </w:r>
      <w:r w:rsidR="003B651A" w:rsidRPr="00A81AFE">
        <w:t>s</w:t>
      </w:r>
      <w:r w:rsidR="00C9565C" w:rsidRPr="00A81AFE">
        <w:t xml:space="preserve"> shooting</w:t>
      </w:r>
      <w:r w:rsidR="0081255B" w:rsidRPr="00A81AFE">
        <w:rPr>
          <w:lang w:val="en-IE"/>
        </w:rPr>
        <w:t xml:space="preserve"> (</w:t>
      </w:r>
      <w:r w:rsidR="00C9565C" w:rsidRPr="00A81AFE">
        <w:t xml:space="preserve">as proposed by </w:t>
      </w:r>
      <w:r w:rsidR="003B651A" w:rsidRPr="00A81AFE">
        <w:t>the Agency and supported by RAC and</w:t>
      </w:r>
      <w:r w:rsidR="008A170A" w:rsidRPr="00A81AFE">
        <w:t xml:space="preserve"> </w:t>
      </w:r>
      <w:r w:rsidR="003B651A" w:rsidRPr="00A81AFE">
        <w:t>SEAC</w:t>
      </w:r>
      <w:r w:rsidR="0081255B" w:rsidRPr="00A81AFE">
        <w:rPr>
          <w:lang w:val="en-IE"/>
        </w:rPr>
        <w:t>)</w:t>
      </w:r>
      <w:r w:rsidR="00C9565C" w:rsidRPr="00A81AFE">
        <w:t xml:space="preserve"> would make enforcement easier</w:t>
      </w:r>
      <w:r w:rsidR="00D74453" w:rsidRPr="00A81AFE">
        <w:t xml:space="preserve">. </w:t>
      </w:r>
      <w:r w:rsidR="00C9565C" w:rsidRPr="00A81AFE">
        <w:t xml:space="preserve">However, </w:t>
      </w:r>
      <w:r w:rsidR="00423E7B" w:rsidRPr="00A81AFE">
        <w:t>the Commission notes</w:t>
      </w:r>
      <w:r w:rsidR="00051A32" w:rsidRPr="00A81AFE">
        <w:t xml:space="preserve"> that</w:t>
      </w:r>
      <w:r w:rsidR="00C9565C" w:rsidRPr="00A81AFE">
        <w:t xml:space="preserve"> </w:t>
      </w:r>
      <w:r w:rsidR="003B651A" w:rsidRPr="00A81AFE">
        <w:rPr>
          <w:lang w:val="en-IE"/>
        </w:rPr>
        <w:t>such</w:t>
      </w:r>
      <w:r w:rsidR="00D74453" w:rsidRPr="00A81AFE">
        <w:rPr>
          <w:lang w:val="en-IE"/>
        </w:rPr>
        <w:t xml:space="preserve"> </w:t>
      </w:r>
      <w:r w:rsidR="003B651A" w:rsidRPr="00A81AFE">
        <w:t>a</w:t>
      </w:r>
      <w:r w:rsidR="00C9565C" w:rsidRPr="00A81AFE">
        <w:t xml:space="preserve"> ban </w:t>
      </w:r>
      <w:r w:rsidR="00051A32" w:rsidRPr="00A81AFE">
        <w:t>could affect</w:t>
      </w:r>
      <w:r w:rsidR="00C9565C" w:rsidRPr="00A81AFE">
        <w:t xml:space="preserve"> Member States</w:t>
      </w:r>
      <w:r w:rsidR="00D85868" w:rsidRPr="00A81AFE">
        <w:t>’ possibility to</w:t>
      </w:r>
      <w:r w:rsidR="00C9565C" w:rsidRPr="00A81AFE">
        <w:t xml:space="preserve"> host the </w:t>
      </w:r>
      <w:r w:rsidR="00C9565C" w:rsidRPr="00A81AFE">
        <w:rPr>
          <w:lang w:val="en-IE"/>
        </w:rPr>
        <w:t>Olympic</w:t>
      </w:r>
      <w:r w:rsidR="0081255B" w:rsidRPr="00A81AFE">
        <w:rPr>
          <w:lang w:val="en-IE"/>
        </w:rPr>
        <w:t xml:space="preserve"> Games</w:t>
      </w:r>
      <w:r w:rsidR="00C9565C" w:rsidRPr="00A81AFE">
        <w:t xml:space="preserve"> and other international competitions</w:t>
      </w:r>
      <w:r w:rsidR="00D74453" w:rsidRPr="00A81AFE">
        <w:t xml:space="preserve"> </w:t>
      </w:r>
      <w:r w:rsidR="0081255B" w:rsidRPr="00A81AFE">
        <w:rPr>
          <w:lang w:val="en-IE"/>
        </w:rPr>
        <w:t xml:space="preserve">in which </w:t>
      </w:r>
      <w:r w:rsidR="006922C8" w:rsidRPr="00A81AFE">
        <w:t>the use of lead is mandatory</w:t>
      </w:r>
      <w:r w:rsidR="002E749C" w:rsidRPr="00A81AFE">
        <w:t>.</w:t>
      </w:r>
      <w:r w:rsidR="006922C8" w:rsidRPr="00A81AFE">
        <w:t xml:space="preserve"> </w:t>
      </w:r>
      <w:r w:rsidR="003B651A" w:rsidRPr="00A81AFE">
        <w:t>It</w:t>
      </w:r>
      <w:r w:rsidR="00C9565C" w:rsidRPr="00A81AFE">
        <w:t xml:space="preserve"> would also prevent athletes from training with lead shot</w:t>
      </w:r>
      <w:r w:rsidR="00F46602" w:rsidRPr="00A81AFE">
        <w:t xml:space="preserve"> in Member States</w:t>
      </w:r>
      <w:r w:rsidR="002C1EFB" w:rsidRPr="00A81AFE">
        <w:t>.</w:t>
      </w:r>
      <w:r w:rsidR="000C0CBF" w:rsidRPr="00A81AFE">
        <w:rPr>
          <w:lang w:val="en-IE"/>
        </w:rPr>
        <w:t xml:space="preserve"> </w:t>
      </w:r>
      <w:r w:rsidR="00F609C6" w:rsidRPr="00A81AFE">
        <w:rPr>
          <w:lang w:val="en-IE"/>
        </w:rPr>
        <w:t xml:space="preserve">The Commission considers </w:t>
      </w:r>
      <w:r w:rsidR="00124219" w:rsidRPr="00A81AFE">
        <w:rPr>
          <w:lang w:val="en-IE"/>
        </w:rPr>
        <w:t>that</w:t>
      </w:r>
      <w:r w:rsidR="00F609C6" w:rsidRPr="00A81AFE">
        <w:rPr>
          <w:lang w:val="en-IE"/>
        </w:rPr>
        <w:t xml:space="preserve"> </w:t>
      </w:r>
      <w:r w:rsidR="00465D19" w:rsidRPr="00A81AFE">
        <w:t>a switch to alternative</w:t>
      </w:r>
      <w:r w:rsidR="007C6E57" w:rsidRPr="00A81AFE">
        <w:t xml:space="preserve"> ammunition</w:t>
      </w:r>
      <w:r w:rsidR="001D7C4C" w:rsidRPr="00A81AFE">
        <w:t xml:space="preserve"> (such </w:t>
      </w:r>
      <w:r w:rsidR="002565FD" w:rsidRPr="00A81AFE">
        <w:t xml:space="preserve">as steel shot) could </w:t>
      </w:r>
      <w:r w:rsidR="00B96891" w:rsidRPr="00A81AFE">
        <w:t xml:space="preserve">be </w:t>
      </w:r>
      <w:r w:rsidR="00C9565C" w:rsidRPr="00A81AFE">
        <w:rPr>
          <w:lang w:val="en-IE"/>
        </w:rPr>
        <w:t>achieved through a long-term but time-limited derogation</w:t>
      </w:r>
      <w:r w:rsidR="006F788F" w:rsidRPr="00A81AFE">
        <w:rPr>
          <w:lang w:val="en-IE"/>
        </w:rPr>
        <w:t xml:space="preserve"> (15 years)</w:t>
      </w:r>
      <w:r w:rsidR="00F046A9" w:rsidRPr="00A81AFE">
        <w:rPr>
          <w:lang w:val="en-IE"/>
        </w:rPr>
        <w:t xml:space="preserve">. </w:t>
      </w:r>
      <w:r w:rsidR="00236351" w:rsidRPr="00A81AFE">
        <w:rPr>
          <w:lang w:val="en-IE"/>
        </w:rPr>
        <w:t xml:space="preserve">The derogation should be limited to gunshot </w:t>
      </w:r>
      <w:r w:rsidR="00350C3B" w:rsidRPr="00A81AFE">
        <w:rPr>
          <w:lang w:val="en-IE"/>
        </w:rPr>
        <w:t xml:space="preserve">sizes </w:t>
      </w:r>
      <w:r w:rsidR="00D21C39" w:rsidRPr="00A81AFE">
        <w:rPr>
          <w:lang w:val="en-IE"/>
        </w:rPr>
        <w:t>between 1.9</w:t>
      </w:r>
      <w:r w:rsidR="00764390" w:rsidRPr="00A81AFE">
        <w:rPr>
          <w:lang w:val="en-IE"/>
        </w:rPr>
        <w:t> mm</w:t>
      </w:r>
      <w:r w:rsidR="00D21C39" w:rsidRPr="00A81AFE">
        <w:rPr>
          <w:lang w:val="en-IE"/>
        </w:rPr>
        <w:t xml:space="preserve"> and 2.6</w:t>
      </w:r>
      <w:r w:rsidR="00764390" w:rsidRPr="00A81AFE">
        <w:rPr>
          <w:lang w:val="en-IE"/>
        </w:rPr>
        <w:t> </w:t>
      </w:r>
      <w:r w:rsidR="00D21C39" w:rsidRPr="00A81AFE">
        <w:rPr>
          <w:lang w:val="en-IE"/>
        </w:rPr>
        <w:t>mm</w:t>
      </w:r>
      <w:r w:rsidR="000573F7" w:rsidRPr="00A81AFE">
        <w:rPr>
          <w:lang w:val="en-IE"/>
        </w:rPr>
        <w:t xml:space="preserve">, which are </w:t>
      </w:r>
      <w:r w:rsidR="00D21C39" w:rsidRPr="00A81AFE">
        <w:rPr>
          <w:lang w:val="en-IE"/>
        </w:rPr>
        <w:t xml:space="preserve">the only calibres </w:t>
      </w:r>
      <w:r w:rsidR="00236351" w:rsidRPr="00A81AFE">
        <w:rPr>
          <w:lang w:val="en-IE"/>
        </w:rPr>
        <w:t>used in competitions</w:t>
      </w:r>
      <w:r w:rsidR="00B56AFF" w:rsidRPr="00A81AFE">
        <w:rPr>
          <w:lang w:val="en-IE"/>
        </w:rPr>
        <w:t xml:space="preserve">. </w:t>
      </w:r>
      <w:r w:rsidR="00124219" w:rsidRPr="00A81AFE">
        <w:rPr>
          <w:lang w:val="en-IE"/>
        </w:rPr>
        <w:t>The derogation</w:t>
      </w:r>
      <w:r w:rsidR="00B56AFF" w:rsidRPr="00A81AFE">
        <w:rPr>
          <w:lang w:val="en-IE"/>
        </w:rPr>
        <w:t xml:space="preserve"> should also</w:t>
      </w:r>
      <w:r w:rsidR="000C0CBF" w:rsidRPr="00A81AFE">
        <w:rPr>
          <w:lang w:val="en-IE"/>
        </w:rPr>
        <w:t xml:space="preserve"> </w:t>
      </w:r>
      <w:r w:rsidR="00AB24FA" w:rsidRPr="00A81AFE">
        <w:rPr>
          <w:lang w:val="en-IE"/>
        </w:rPr>
        <w:t>depend on</w:t>
      </w:r>
      <w:r w:rsidR="000C0CBF" w:rsidRPr="00A81AFE">
        <w:rPr>
          <w:lang w:val="en-IE"/>
        </w:rPr>
        <w:t xml:space="preserve"> the presence</w:t>
      </w:r>
      <w:r w:rsidR="00361692" w:rsidRPr="00A81AFE">
        <w:rPr>
          <w:lang w:val="en-IE"/>
        </w:rPr>
        <w:t>,</w:t>
      </w:r>
      <w:r w:rsidR="000C0CBF" w:rsidRPr="00A81AFE">
        <w:rPr>
          <w:lang w:val="en-IE"/>
        </w:rPr>
        <w:t xml:space="preserve"> in the shooting range</w:t>
      </w:r>
      <w:r w:rsidR="00C9565C" w:rsidRPr="00A81AFE">
        <w:rPr>
          <w:lang w:val="en-IE"/>
        </w:rPr>
        <w:t xml:space="preserve"> </w:t>
      </w:r>
      <w:r w:rsidR="000C0CBF" w:rsidRPr="00A81AFE">
        <w:rPr>
          <w:lang w:val="en-IE"/>
        </w:rPr>
        <w:t>where the sports shooting takes place</w:t>
      </w:r>
      <w:r w:rsidR="00361692" w:rsidRPr="00A81AFE">
        <w:rPr>
          <w:lang w:val="en-IE"/>
        </w:rPr>
        <w:t>,</w:t>
      </w:r>
      <w:r w:rsidR="003F10B9" w:rsidRPr="00A81AFE">
        <w:rPr>
          <w:lang w:val="en-IE"/>
        </w:rPr>
        <w:t xml:space="preserve"> of </w:t>
      </w:r>
      <w:r w:rsidR="00361692" w:rsidRPr="00A81AFE">
        <w:rPr>
          <w:lang w:val="en-IE"/>
        </w:rPr>
        <w:t>appropriate</w:t>
      </w:r>
      <w:r w:rsidR="003F10B9" w:rsidRPr="00A81AFE">
        <w:rPr>
          <w:lang w:val="en-IE"/>
        </w:rPr>
        <w:t xml:space="preserve"> risk</w:t>
      </w:r>
      <w:r w:rsidR="006922C8" w:rsidRPr="00A81AFE">
        <w:rPr>
          <w:lang w:val="en-IE"/>
        </w:rPr>
        <w:t xml:space="preserve"> </w:t>
      </w:r>
      <w:r w:rsidR="003F10B9" w:rsidRPr="00A81AFE">
        <w:rPr>
          <w:lang w:val="en-IE"/>
        </w:rPr>
        <w:t>management measures</w:t>
      </w:r>
      <w:r w:rsidR="00827B41" w:rsidRPr="00A81AFE">
        <w:rPr>
          <w:rFonts w:eastAsia="Times New Roman"/>
          <w:szCs w:val="24"/>
          <w:lang w:val="en-IE"/>
        </w:rPr>
        <w:t>,</w:t>
      </w:r>
      <w:r w:rsidR="000C097D" w:rsidRPr="00A81AFE">
        <w:rPr>
          <w:rFonts w:eastAsia="Calibri"/>
          <w:szCs w:val="24"/>
          <w:lang w:val="en-IE"/>
        </w:rPr>
        <w:t xml:space="preserve"> </w:t>
      </w:r>
      <w:r w:rsidR="0081255B" w:rsidRPr="00A81AFE">
        <w:rPr>
          <w:rFonts w:eastAsia="Calibri"/>
          <w:szCs w:val="24"/>
          <w:lang w:val="en-IE"/>
        </w:rPr>
        <w:t>both</w:t>
      </w:r>
      <w:r w:rsidR="000C097D" w:rsidRPr="00A81AFE">
        <w:rPr>
          <w:lang w:val="en-IE"/>
        </w:rPr>
        <w:t xml:space="preserve"> to ensure lead containment</w:t>
      </w:r>
      <w:r w:rsidR="005A3D82" w:rsidRPr="00A81AFE">
        <w:rPr>
          <w:lang w:val="en-IE"/>
        </w:rPr>
        <w:t xml:space="preserve"> and </w:t>
      </w:r>
      <w:r w:rsidR="0081255B" w:rsidRPr="00A81AFE">
        <w:rPr>
          <w:rFonts w:eastAsia="Calibri"/>
          <w:szCs w:val="24"/>
          <w:lang w:val="en-IE"/>
        </w:rPr>
        <w:t xml:space="preserve">to </w:t>
      </w:r>
      <w:r w:rsidR="005A3D82" w:rsidRPr="00A81AFE">
        <w:rPr>
          <w:lang w:val="en-IE"/>
        </w:rPr>
        <w:t xml:space="preserve">limit </w:t>
      </w:r>
      <w:r w:rsidR="00764390" w:rsidRPr="00A81AFE">
        <w:rPr>
          <w:lang w:val="en-IE"/>
        </w:rPr>
        <w:t xml:space="preserve">the release of </w:t>
      </w:r>
      <w:r w:rsidR="005A3D82" w:rsidRPr="00A81AFE">
        <w:rPr>
          <w:lang w:val="en-IE"/>
        </w:rPr>
        <w:t>lead</w:t>
      </w:r>
      <w:r w:rsidR="000C0CBF" w:rsidRPr="00A81AFE">
        <w:rPr>
          <w:lang w:val="en-IE"/>
        </w:rPr>
        <w:t>.</w:t>
      </w:r>
      <w:r w:rsidR="00AB24FA" w:rsidRPr="00A81AFE">
        <w:rPr>
          <w:lang w:val="en-IE"/>
        </w:rPr>
        <w:t xml:space="preserve"> The Commission </w:t>
      </w:r>
      <w:r w:rsidR="00185C52" w:rsidRPr="00A81AFE">
        <w:rPr>
          <w:lang w:val="en-IE"/>
        </w:rPr>
        <w:t xml:space="preserve">does </w:t>
      </w:r>
      <w:r w:rsidR="00AB24FA" w:rsidRPr="00A81AFE">
        <w:rPr>
          <w:lang w:val="en-IE"/>
        </w:rPr>
        <w:t xml:space="preserve">not </w:t>
      </w:r>
      <w:r w:rsidR="00185C52" w:rsidRPr="00A81AFE">
        <w:rPr>
          <w:lang w:val="en-IE"/>
        </w:rPr>
        <w:t xml:space="preserve">consider </w:t>
      </w:r>
      <w:r w:rsidR="00124219" w:rsidRPr="00A81AFE">
        <w:rPr>
          <w:lang w:val="en-IE"/>
        </w:rPr>
        <w:t xml:space="preserve">it </w:t>
      </w:r>
      <w:r w:rsidR="00185C52" w:rsidRPr="00A81AFE">
        <w:rPr>
          <w:lang w:val="en-IE"/>
        </w:rPr>
        <w:t xml:space="preserve">appropriate to </w:t>
      </w:r>
      <w:r w:rsidR="00AB24FA" w:rsidRPr="00A81AFE">
        <w:rPr>
          <w:lang w:val="en-IE"/>
        </w:rPr>
        <w:t>include</w:t>
      </w:r>
      <w:r w:rsidR="000C097D" w:rsidRPr="00A81AFE">
        <w:rPr>
          <w:lang w:val="en-IE"/>
        </w:rPr>
        <w:t xml:space="preserve"> </w:t>
      </w:r>
      <w:r w:rsidR="000C097D" w:rsidRPr="00A81AFE" w:rsidDel="00A82009">
        <w:rPr>
          <w:lang w:val="en-IE"/>
        </w:rPr>
        <w:t xml:space="preserve">among the </w:t>
      </w:r>
      <w:r w:rsidR="004575C8" w:rsidRPr="00A81AFE" w:rsidDel="00A82009">
        <w:rPr>
          <w:lang w:val="en-IE"/>
        </w:rPr>
        <w:t xml:space="preserve">mandatory </w:t>
      </w:r>
      <w:r w:rsidR="000C097D" w:rsidRPr="00A81AFE" w:rsidDel="00A82009">
        <w:rPr>
          <w:lang w:val="en-IE"/>
        </w:rPr>
        <w:t>risk</w:t>
      </w:r>
      <w:r w:rsidR="00343E58" w:rsidRPr="00A81AFE">
        <w:rPr>
          <w:lang w:val="en-IE"/>
        </w:rPr>
        <w:t xml:space="preserve"> </w:t>
      </w:r>
      <w:r w:rsidR="000C097D" w:rsidRPr="00A81AFE" w:rsidDel="00A82009">
        <w:rPr>
          <w:lang w:val="en-IE"/>
        </w:rPr>
        <w:t xml:space="preserve">management measures </w:t>
      </w:r>
      <w:r w:rsidR="004575C8" w:rsidRPr="00A81AFE" w:rsidDel="00A82009">
        <w:rPr>
          <w:lang w:val="en-IE"/>
        </w:rPr>
        <w:t xml:space="preserve">some </w:t>
      </w:r>
      <w:r w:rsidR="004575C8" w:rsidRPr="00A81AFE" w:rsidDel="009A0BA6">
        <w:rPr>
          <w:lang w:val="en-IE"/>
        </w:rPr>
        <w:t>of</w:t>
      </w:r>
      <w:r w:rsidR="00575830" w:rsidRPr="00A81AFE">
        <w:rPr>
          <w:lang w:val="en-IE"/>
        </w:rPr>
        <w:t xml:space="preserve"> </w:t>
      </w:r>
      <w:r w:rsidR="004575C8" w:rsidRPr="00A81AFE" w:rsidDel="009A0BA6">
        <w:rPr>
          <w:lang w:val="en-IE"/>
        </w:rPr>
        <w:t>the</w:t>
      </w:r>
      <w:r w:rsidR="004575C8" w:rsidRPr="00A81AFE">
        <w:rPr>
          <w:lang w:val="en-IE"/>
        </w:rPr>
        <w:t xml:space="preserve"> measures recommended by the Agency, such as</w:t>
      </w:r>
      <w:r w:rsidR="00124219" w:rsidRPr="00A81AFE">
        <w:rPr>
          <w:lang w:val="en-IE"/>
        </w:rPr>
        <w:t>: (i)</w:t>
      </w:r>
      <w:r w:rsidR="006462D9" w:rsidRPr="00A81AFE">
        <w:rPr>
          <w:lang w:val="en-IE"/>
        </w:rPr>
        <w:t> </w:t>
      </w:r>
      <w:r w:rsidR="004575C8" w:rsidRPr="00A81AFE">
        <w:rPr>
          <w:lang w:val="en-IE"/>
        </w:rPr>
        <w:t>the</w:t>
      </w:r>
      <w:r w:rsidR="000C097D" w:rsidRPr="00A81AFE">
        <w:rPr>
          <w:lang w:val="en-IE"/>
        </w:rPr>
        <w:t xml:space="preserve"> obligation to recover more than 90% of spent lead gunshot, </w:t>
      </w:r>
      <w:r w:rsidR="0045008F" w:rsidRPr="00A81AFE">
        <w:t xml:space="preserve">as </w:t>
      </w:r>
      <w:r w:rsidR="00343E58" w:rsidRPr="00A81AFE">
        <w:t>the small dimensions of the gunshot and the wide area across which the gunshot is discharged makes such a high recovery rate very difficult to achieve</w:t>
      </w:r>
      <w:r w:rsidR="00124219" w:rsidRPr="00A81AFE">
        <w:t>;</w:t>
      </w:r>
      <w:r w:rsidR="000C097D" w:rsidRPr="00A81AFE">
        <w:t xml:space="preserve"> </w:t>
      </w:r>
      <w:r w:rsidR="004575C8" w:rsidRPr="00A81AFE">
        <w:t>or</w:t>
      </w:r>
      <w:r w:rsidR="004575C8" w:rsidRPr="00A81AFE">
        <w:rPr>
          <w:lang w:val="en-IE"/>
        </w:rPr>
        <w:t xml:space="preserve"> </w:t>
      </w:r>
      <w:r w:rsidR="00124219" w:rsidRPr="00A81AFE">
        <w:rPr>
          <w:lang w:val="en-IE"/>
        </w:rPr>
        <w:t>(ii)</w:t>
      </w:r>
      <w:r w:rsidR="006462D9" w:rsidRPr="00A81AFE">
        <w:rPr>
          <w:lang w:val="en-IE"/>
        </w:rPr>
        <w:t> </w:t>
      </w:r>
      <w:r w:rsidR="004575C8" w:rsidRPr="00A81AFE">
        <w:rPr>
          <w:lang w:val="en-IE"/>
        </w:rPr>
        <w:t>the mandatory licen</w:t>
      </w:r>
      <w:r w:rsidR="00124219" w:rsidRPr="00A81AFE">
        <w:rPr>
          <w:lang w:val="en-IE"/>
        </w:rPr>
        <w:t>s</w:t>
      </w:r>
      <w:r w:rsidR="004575C8" w:rsidRPr="00A81AFE">
        <w:rPr>
          <w:lang w:val="en-IE"/>
        </w:rPr>
        <w:t>ing of users of sports</w:t>
      </w:r>
      <w:r w:rsidR="00343E58" w:rsidRPr="00A81AFE">
        <w:rPr>
          <w:lang w:val="en-IE"/>
        </w:rPr>
        <w:t xml:space="preserve"> </w:t>
      </w:r>
      <w:r w:rsidR="004575C8" w:rsidRPr="00A81AFE">
        <w:rPr>
          <w:lang w:val="en-IE"/>
        </w:rPr>
        <w:t xml:space="preserve">shooting ranges by Member States, </w:t>
      </w:r>
      <w:r w:rsidR="0081255B" w:rsidRPr="00A81AFE">
        <w:rPr>
          <w:lang w:val="en-IE"/>
        </w:rPr>
        <w:t xml:space="preserve">which </w:t>
      </w:r>
      <w:r w:rsidR="006F788F" w:rsidRPr="00A81AFE">
        <w:rPr>
          <w:lang w:val="en-IE"/>
        </w:rPr>
        <w:t xml:space="preserve">it </w:t>
      </w:r>
      <w:r w:rsidR="0045008F" w:rsidRPr="00A81AFE">
        <w:rPr>
          <w:lang w:val="en-IE"/>
        </w:rPr>
        <w:t xml:space="preserve">considers </w:t>
      </w:r>
      <w:r w:rsidR="0081255B" w:rsidRPr="00A81AFE">
        <w:rPr>
          <w:lang w:val="en-IE"/>
        </w:rPr>
        <w:t xml:space="preserve">to </w:t>
      </w:r>
      <w:r w:rsidR="00124219" w:rsidRPr="00A81AFE">
        <w:rPr>
          <w:lang w:val="en-IE"/>
        </w:rPr>
        <w:t xml:space="preserve">be </w:t>
      </w:r>
      <w:r w:rsidR="004575C8" w:rsidRPr="00A81AFE">
        <w:rPr>
          <w:lang w:val="en-IE"/>
        </w:rPr>
        <w:t xml:space="preserve">too </w:t>
      </w:r>
      <w:r w:rsidR="000573F7" w:rsidRPr="00A81AFE">
        <w:rPr>
          <w:lang w:val="en-IE"/>
        </w:rPr>
        <w:t xml:space="preserve">bureaucratic and </w:t>
      </w:r>
      <w:r w:rsidR="00681549" w:rsidRPr="00A81AFE">
        <w:t>labour intensive</w:t>
      </w:r>
      <w:r w:rsidR="000C097D" w:rsidRPr="00A81AFE">
        <w:t>.</w:t>
      </w:r>
      <w:r w:rsidR="0017164B" w:rsidRPr="00A81AFE">
        <w:rPr>
          <w:lang w:val="en-IE"/>
        </w:rPr>
        <w:t xml:space="preserve"> </w:t>
      </w:r>
      <w:r w:rsidR="0081255B" w:rsidRPr="00A81AFE">
        <w:rPr>
          <w:lang w:val="en-IE"/>
        </w:rPr>
        <w:t>T</w:t>
      </w:r>
      <w:r w:rsidR="004575C8" w:rsidRPr="00A81AFE">
        <w:rPr>
          <w:lang w:val="en-IE"/>
        </w:rPr>
        <w:t xml:space="preserve">he Commission </w:t>
      </w:r>
      <w:r w:rsidR="0081255B" w:rsidRPr="00A81AFE">
        <w:rPr>
          <w:lang w:val="en-IE"/>
        </w:rPr>
        <w:t xml:space="preserve">nevertheless </w:t>
      </w:r>
      <w:r w:rsidR="00185C52" w:rsidRPr="00A81AFE">
        <w:rPr>
          <w:lang w:val="en-IE"/>
        </w:rPr>
        <w:t xml:space="preserve">considers </w:t>
      </w:r>
      <w:r w:rsidR="00124219" w:rsidRPr="00A81AFE">
        <w:rPr>
          <w:lang w:val="en-IE"/>
        </w:rPr>
        <w:t xml:space="preserve">it </w:t>
      </w:r>
      <w:r w:rsidR="00185C52" w:rsidRPr="00A81AFE">
        <w:rPr>
          <w:lang w:val="en-IE"/>
        </w:rPr>
        <w:t>appropriate to include</w:t>
      </w:r>
      <w:r w:rsidR="00B94E13" w:rsidRPr="00A81AFE">
        <w:rPr>
          <w:lang w:val="en-IE"/>
        </w:rPr>
        <w:t>, as recommended</w:t>
      </w:r>
      <w:r w:rsidR="0066384F" w:rsidRPr="00A81AFE">
        <w:t xml:space="preserve"> by the Agency</w:t>
      </w:r>
      <w:r w:rsidR="00583153" w:rsidRPr="00A81AFE">
        <w:t>:</w:t>
      </w:r>
      <w:r w:rsidR="00A82711" w:rsidRPr="00A81AFE">
        <w:rPr>
          <w:lang w:val="en-IE"/>
        </w:rPr>
        <w:t xml:space="preserve"> (i)</w:t>
      </w:r>
      <w:r w:rsidR="006462D9" w:rsidRPr="00A81AFE">
        <w:rPr>
          <w:lang w:val="en-IE"/>
        </w:rPr>
        <w:t> </w:t>
      </w:r>
      <w:r w:rsidR="00A82711" w:rsidRPr="00A81AFE">
        <w:rPr>
          <w:lang w:val="en-IE"/>
        </w:rPr>
        <w:t>the obligation to c</w:t>
      </w:r>
      <w:r w:rsidR="00A82711" w:rsidRPr="00A81AFE">
        <w:t>ontain, monitor and, where necessary, treat drainage water (including surface water run-off) from gunshot impact areas</w:t>
      </w:r>
      <w:r w:rsidR="00A82711" w:rsidRPr="00A81AFE">
        <w:rPr>
          <w:lang w:val="en-IE"/>
        </w:rPr>
        <w:t>; and (ii)</w:t>
      </w:r>
      <w:r w:rsidR="006462D9" w:rsidRPr="00A81AFE">
        <w:rPr>
          <w:szCs w:val="24"/>
          <w:lang w:val="en-IE"/>
        </w:rPr>
        <w:t> </w:t>
      </w:r>
      <w:r w:rsidR="00A82711" w:rsidRPr="00A81AFE">
        <w:rPr>
          <w:lang w:val="en-IE"/>
        </w:rPr>
        <w:t xml:space="preserve">the prohibition of </w:t>
      </w:r>
      <w:r w:rsidR="00A82711" w:rsidRPr="00A81AFE">
        <w:t xml:space="preserve">any agricultural use within </w:t>
      </w:r>
      <w:r w:rsidR="00C27CF7" w:rsidRPr="00A81AFE">
        <w:rPr>
          <w:szCs w:val="24"/>
          <w:lang w:val="en-IE"/>
        </w:rPr>
        <w:t xml:space="preserve">a </w:t>
      </w:r>
      <w:r w:rsidR="00A82711" w:rsidRPr="00A81AFE">
        <w:rPr>
          <w:lang w:val="en-IE"/>
        </w:rPr>
        <w:t xml:space="preserve">shooting </w:t>
      </w:r>
      <w:r w:rsidR="00A82711" w:rsidRPr="00A81AFE">
        <w:rPr>
          <w:szCs w:val="24"/>
          <w:lang w:val="en-IE"/>
        </w:rPr>
        <w:t>range</w:t>
      </w:r>
      <w:r w:rsidR="00C27CF7" w:rsidRPr="00A81AFE">
        <w:rPr>
          <w:szCs w:val="24"/>
          <w:lang w:val="en-IE"/>
        </w:rPr>
        <w:t>’s</w:t>
      </w:r>
      <w:r w:rsidR="00A82711" w:rsidRPr="00A81AFE">
        <w:rPr>
          <w:lang w:val="en-IE"/>
        </w:rPr>
        <w:t xml:space="preserve"> </w:t>
      </w:r>
      <w:r w:rsidR="00A82711" w:rsidRPr="00A81AFE">
        <w:t>boundary</w:t>
      </w:r>
      <w:r w:rsidR="00A82711" w:rsidRPr="00A81AFE">
        <w:rPr>
          <w:lang w:val="en-IE"/>
        </w:rPr>
        <w:t xml:space="preserve">. </w:t>
      </w:r>
      <w:r w:rsidR="00B94E13" w:rsidRPr="00A81AFE">
        <w:rPr>
          <w:lang w:val="en-IE"/>
        </w:rPr>
        <w:t>The Commission</w:t>
      </w:r>
      <w:r w:rsidR="00A82711" w:rsidRPr="00A81AFE">
        <w:rPr>
          <w:lang w:val="en-IE"/>
        </w:rPr>
        <w:t xml:space="preserve"> also considers it appropriate to include </w:t>
      </w:r>
      <w:r w:rsidR="004575C8" w:rsidRPr="00A81AFE">
        <w:rPr>
          <w:lang w:val="en-IE"/>
        </w:rPr>
        <w:t xml:space="preserve">additional </w:t>
      </w:r>
      <w:r w:rsidR="000573F7" w:rsidRPr="00A81AFE">
        <w:rPr>
          <w:lang w:val="en-IE"/>
        </w:rPr>
        <w:t>risk</w:t>
      </w:r>
      <w:r w:rsidR="00D74453" w:rsidRPr="00A81AFE">
        <w:rPr>
          <w:lang w:val="en-IE"/>
        </w:rPr>
        <w:t xml:space="preserve"> </w:t>
      </w:r>
      <w:r w:rsidR="000573F7" w:rsidRPr="00A81AFE">
        <w:rPr>
          <w:lang w:val="en-IE"/>
        </w:rPr>
        <w:t xml:space="preserve">management </w:t>
      </w:r>
      <w:r w:rsidR="004575C8" w:rsidRPr="00A81AFE">
        <w:rPr>
          <w:lang w:val="en-IE"/>
        </w:rPr>
        <w:t xml:space="preserve">measures </w:t>
      </w:r>
      <w:r w:rsidR="00185C52" w:rsidRPr="00A81AFE">
        <w:rPr>
          <w:lang w:val="en-IE"/>
        </w:rPr>
        <w:t>intended to</w:t>
      </w:r>
      <w:r w:rsidR="004575C8" w:rsidRPr="00A81AFE">
        <w:rPr>
          <w:lang w:val="en-IE"/>
        </w:rPr>
        <w:t xml:space="preserve"> ensure a level of protection</w:t>
      </w:r>
      <w:r w:rsidR="00583153" w:rsidRPr="00A81AFE">
        <w:rPr>
          <w:lang w:val="en-IE"/>
        </w:rPr>
        <w:t xml:space="preserve"> comparable to that of the measures proposed by the Agency</w:t>
      </w:r>
      <w:r w:rsidR="004575C8" w:rsidRPr="00A81AFE">
        <w:rPr>
          <w:lang w:val="en-IE"/>
        </w:rPr>
        <w:t xml:space="preserve">, </w:t>
      </w:r>
      <w:r w:rsidR="005E7316" w:rsidRPr="00A81AFE">
        <w:rPr>
          <w:lang w:val="en-IE"/>
        </w:rPr>
        <w:t>namely the implementation of</w:t>
      </w:r>
      <w:r w:rsidR="00124219" w:rsidRPr="00A81AFE">
        <w:rPr>
          <w:lang w:val="en-IE"/>
        </w:rPr>
        <w:t>: (i)</w:t>
      </w:r>
      <w:r w:rsidR="006462D9" w:rsidRPr="00A81AFE">
        <w:rPr>
          <w:lang w:val="en-IE"/>
        </w:rPr>
        <w:t> </w:t>
      </w:r>
      <w:r w:rsidR="005E7316" w:rsidRPr="00A81AFE">
        <w:rPr>
          <w:lang w:val="en-IE"/>
        </w:rPr>
        <w:t xml:space="preserve">at least two </w:t>
      </w:r>
      <w:r w:rsidR="004575C8" w:rsidRPr="00A81AFE">
        <w:rPr>
          <w:lang w:val="en-IE"/>
        </w:rPr>
        <w:t>specific lead</w:t>
      </w:r>
      <w:r w:rsidR="00124219" w:rsidRPr="00A81AFE">
        <w:rPr>
          <w:lang w:val="en-IE"/>
        </w:rPr>
        <w:t>-</w:t>
      </w:r>
      <w:r w:rsidR="004575C8" w:rsidRPr="00A81AFE">
        <w:rPr>
          <w:lang w:val="en-IE"/>
        </w:rPr>
        <w:t xml:space="preserve">containment measures (walls, berms or banks, nets or shot curtains, and </w:t>
      </w:r>
      <w:r w:rsidR="004575C8" w:rsidRPr="00A81AFE">
        <w:rPr>
          <w:lang w:val="en-IE"/>
        </w:rPr>
        <w:lastRenderedPageBreak/>
        <w:t>surface covering)</w:t>
      </w:r>
      <w:r w:rsidR="00124219" w:rsidRPr="00A81AFE">
        <w:rPr>
          <w:lang w:val="en-IE"/>
        </w:rPr>
        <w:t>; (ii</w:t>
      </w:r>
      <w:r w:rsidR="004575C8" w:rsidRPr="00A81AFE">
        <w:rPr>
          <w:lang w:val="en-IE"/>
        </w:rPr>
        <w:t>)</w:t>
      </w:r>
      <w:r w:rsidR="006462D9" w:rsidRPr="00A81AFE">
        <w:rPr>
          <w:lang w:val="en-IE"/>
        </w:rPr>
        <w:t> </w:t>
      </w:r>
      <w:r w:rsidR="004575C8" w:rsidRPr="00A81AFE">
        <w:rPr>
          <w:lang w:val="en-IE"/>
        </w:rPr>
        <w:t>pH monitoring</w:t>
      </w:r>
      <w:r w:rsidR="00DA1BB9" w:rsidRPr="00A81AFE">
        <w:rPr>
          <w:lang w:val="en-IE"/>
        </w:rPr>
        <w:t xml:space="preserve"> </w:t>
      </w:r>
      <w:r w:rsidR="00A81ED3" w:rsidRPr="00A81AFE">
        <w:rPr>
          <w:lang w:val="en-IE"/>
        </w:rPr>
        <w:t xml:space="preserve">and, where necessary, treatment </w:t>
      </w:r>
      <w:r w:rsidR="00DA1BB9" w:rsidRPr="00A81AFE">
        <w:rPr>
          <w:lang w:val="en-IE"/>
        </w:rPr>
        <w:t>of gunshot</w:t>
      </w:r>
      <w:r w:rsidR="00124219" w:rsidRPr="00A81AFE">
        <w:rPr>
          <w:lang w:val="en-IE"/>
        </w:rPr>
        <w:t>-</w:t>
      </w:r>
      <w:r w:rsidR="00DA1BB9" w:rsidRPr="00A81AFE">
        <w:rPr>
          <w:lang w:val="en-IE"/>
        </w:rPr>
        <w:t>impact areas</w:t>
      </w:r>
      <w:r w:rsidR="000A06AC" w:rsidRPr="00A81AFE">
        <w:rPr>
          <w:lang w:val="en-IE"/>
        </w:rPr>
        <w:t>; (iii)</w:t>
      </w:r>
      <w:r w:rsidR="006462D9" w:rsidRPr="00A81AFE">
        <w:rPr>
          <w:lang w:val="en-IE"/>
        </w:rPr>
        <w:t> </w:t>
      </w:r>
      <w:r w:rsidR="00DA1BB9" w:rsidRPr="00A81AFE">
        <w:rPr>
          <w:lang w:val="en-IE"/>
        </w:rPr>
        <w:t>limiting the use of lead gunshot to members of a sports</w:t>
      </w:r>
      <w:r w:rsidR="00D74453" w:rsidRPr="00A81AFE">
        <w:rPr>
          <w:lang w:val="en-IE"/>
        </w:rPr>
        <w:t xml:space="preserve"> </w:t>
      </w:r>
      <w:r w:rsidR="00DA1BB9" w:rsidRPr="00A81AFE">
        <w:rPr>
          <w:lang w:val="en-IE"/>
        </w:rPr>
        <w:t>shooting federation</w:t>
      </w:r>
      <w:r w:rsidR="000A06AC" w:rsidRPr="00A81AFE">
        <w:rPr>
          <w:lang w:val="en-IE"/>
        </w:rPr>
        <w:t>;</w:t>
      </w:r>
      <w:r w:rsidR="00B311AD" w:rsidRPr="00A81AFE">
        <w:rPr>
          <w:lang w:val="en-IE"/>
        </w:rPr>
        <w:t xml:space="preserve"> and </w:t>
      </w:r>
      <w:r w:rsidR="000A06AC" w:rsidRPr="00A81AFE">
        <w:rPr>
          <w:lang w:val="en-IE"/>
        </w:rPr>
        <w:t>(iv)</w:t>
      </w:r>
      <w:r w:rsidR="006462D9" w:rsidRPr="00A81AFE">
        <w:rPr>
          <w:lang w:val="en-IE"/>
        </w:rPr>
        <w:t> </w:t>
      </w:r>
      <w:r w:rsidR="00B311AD" w:rsidRPr="00A81AFE">
        <w:rPr>
          <w:lang w:val="en-IE"/>
        </w:rPr>
        <w:t xml:space="preserve">limiting the </w:t>
      </w:r>
      <w:r w:rsidR="00044CF1" w:rsidRPr="00A81AFE">
        <w:t>number of</w:t>
      </w:r>
      <w:r w:rsidR="00B311AD" w:rsidRPr="00A81AFE">
        <w:t xml:space="preserve"> </w:t>
      </w:r>
      <w:r w:rsidR="00B311AD" w:rsidRPr="00A81AFE">
        <w:rPr>
          <w:lang w:val="en-IE"/>
        </w:rPr>
        <w:t xml:space="preserve">operators that can place the </w:t>
      </w:r>
      <w:r w:rsidR="00B311AD" w:rsidRPr="00A81AFE">
        <w:t>derogated</w:t>
      </w:r>
      <w:r w:rsidR="00B311AD" w:rsidRPr="00A81AFE">
        <w:rPr>
          <w:lang w:val="en-IE"/>
        </w:rPr>
        <w:t xml:space="preserve"> gunshot calibres on the market</w:t>
      </w:r>
      <w:r w:rsidR="00DA1BB9" w:rsidRPr="00A81AFE">
        <w:rPr>
          <w:lang w:val="en-IE"/>
        </w:rPr>
        <w:t xml:space="preserve">. </w:t>
      </w:r>
      <w:r w:rsidR="00C27CF7" w:rsidRPr="00A81AFE">
        <w:rPr>
          <w:lang w:val="en-IE"/>
        </w:rPr>
        <w:t>O</w:t>
      </w:r>
      <w:r w:rsidR="00185C52" w:rsidRPr="00A81AFE">
        <w:rPr>
          <w:lang w:val="en-IE"/>
        </w:rPr>
        <w:t>utdoor sports</w:t>
      </w:r>
      <w:r w:rsidR="00D74453" w:rsidRPr="00A81AFE">
        <w:rPr>
          <w:lang w:val="en-IE"/>
        </w:rPr>
        <w:t xml:space="preserve"> </w:t>
      </w:r>
      <w:r w:rsidR="00185C52" w:rsidRPr="00A81AFE">
        <w:rPr>
          <w:lang w:val="en-IE"/>
        </w:rPr>
        <w:t xml:space="preserve">shooting ranges </w:t>
      </w:r>
      <w:r w:rsidR="008061E5" w:rsidRPr="00A81AFE">
        <w:rPr>
          <w:lang w:val="en-IE"/>
        </w:rPr>
        <w:t>should</w:t>
      </w:r>
      <w:r w:rsidR="00C27CF7" w:rsidRPr="00A81AFE">
        <w:rPr>
          <w:lang w:val="en-IE"/>
        </w:rPr>
        <w:t xml:space="preserve"> also </w:t>
      </w:r>
      <w:r w:rsidR="00E30AC0" w:rsidRPr="00A81AFE">
        <w:rPr>
          <w:lang w:val="en-IE"/>
        </w:rPr>
        <w:t>r</w:t>
      </w:r>
      <w:r w:rsidR="00E30AC0" w:rsidRPr="00A81AFE">
        <w:t xml:space="preserve">ecover spent lead shot at least </w:t>
      </w:r>
      <w:r w:rsidR="00C27CF7" w:rsidRPr="00A81AFE">
        <w:rPr>
          <w:szCs w:val="24"/>
          <w:lang w:val="en-IE"/>
        </w:rPr>
        <w:t xml:space="preserve">once </w:t>
      </w:r>
      <w:r w:rsidR="00E30AC0" w:rsidRPr="00A81AFE">
        <w:t xml:space="preserve">every </w:t>
      </w:r>
      <w:r w:rsidR="00A7100D" w:rsidRPr="00A81AFE">
        <w:t>three</w:t>
      </w:r>
      <w:r w:rsidR="00E30AC0" w:rsidRPr="00A81AFE">
        <w:t xml:space="preserve"> </w:t>
      </w:r>
      <w:r w:rsidR="00E30AC0" w:rsidRPr="00A81AFE">
        <w:rPr>
          <w:szCs w:val="24"/>
        </w:rPr>
        <w:t>y</w:t>
      </w:r>
      <w:r w:rsidR="00D04886" w:rsidRPr="00A81AFE">
        <w:rPr>
          <w:szCs w:val="24"/>
        </w:rPr>
        <w:t>e</w:t>
      </w:r>
      <w:r w:rsidR="00E30AC0" w:rsidRPr="00A81AFE">
        <w:rPr>
          <w:szCs w:val="24"/>
        </w:rPr>
        <w:t>ars</w:t>
      </w:r>
      <w:r w:rsidR="00E30AC0" w:rsidRPr="00A81AFE">
        <w:rPr>
          <w:lang w:val="en-IE"/>
        </w:rPr>
        <w:t xml:space="preserve"> and </w:t>
      </w:r>
      <w:r w:rsidR="008061E5" w:rsidRPr="00A81AFE">
        <w:rPr>
          <w:lang w:val="en-IE"/>
        </w:rPr>
        <w:t>should</w:t>
      </w:r>
      <w:r w:rsidR="00E30AC0" w:rsidRPr="00A81AFE">
        <w:rPr>
          <w:lang w:val="en-IE"/>
        </w:rPr>
        <w:t xml:space="preserve"> </w:t>
      </w:r>
      <w:r w:rsidR="00185C52" w:rsidRPr="00A81AFE">
        <w:rPr>
          <w:lang w:val="en-IE"/>
        </w:rPr>
        <w:t>report information concerning lead spen</w:t>
      </w:r>
      <w:r w:rsidR="0052478A" w:rsidRPr="00A81AFE">
        <w:rPr>
          <w:lang w:val="en-IE"/>
        </w:rPr>
        <w:t>t</w:t>
      </w:r>
      <w:r w:rsidR="00185C52" w:rsidRPr="00A81AFE">
        <w:rPr>
          <w:lang w:val="en-IE"/>
        </w:rPr>
        <w:t xml:space="preserve"> and recovered </w:t>
      </w:r>
      <w:r w:rsidR="0052478A" w:rsidRPr="00A81AFE">
        <w:rPr>
          <w:lang w:val="en-IE"/>
        </w:rPr>
        <w:t>on their premises t</w:t>
      </w:r>
      <w:r w:rsidR="00185C52" w:rsidRPr="00A81AFE">
        <w:rPr>
          <w:lang w:val="en-IE"/>
        </w:rPr>
        <w:t xml:space="preserve">o the </w:t>
      </w:r>
      <w:r w:rsidR="008061E5" w:rsidRPr="00A81AFE">
        <w:t>responsible</w:t>
      </w:r>
      <w:r w:rsidR="008061E5" w:rsidRPr="00A81AFE">
        <w:rPr>
          <w:lang w:val="en-IE"/>
        </w:rPr>
        <w:t xml:space="preserve"> </w:t>
      </w:r>
      <w:r w:rsidR="0052478A" w:rsidRPr="00A81AFE">
        <w:rPr>
          <w:lang w:val="en-IE"/>
        </w:rPr>
        <w:t>Member State</w:t>
      </w:r>
      <w:r w:rsidR="008061E5" w:rsidRPr="00A81AFE">
        <w:rPr>
          <w:lang w:val="en-IE"/>
        </w:rPr>
        <w:t xml:space="preserve"> authorities</w:t>
      </w:r>
      <w:r w:rsidR="00185C52" w:rsidRPr="00A81AFE">
        <w:rPr>
          <w:lang w:val="en-IE"/>
        </w:rPr>
        <w:t>, so that the effectiveness of the risk</w:t>
      </w:r>
      <w:r w:rsidR="008061E5" w:rsidRPr="00A81AFE">
        <w:rPr>
          <w:lang w:val="en-IE"/>
        </w:rPr>
        <w:t xml:space="preserve"> </w:t>
      </w:r>
      <w:r w:rsidR="00185C52" w:rsidRPr="00A81AFE">
        <w:rPr>
          <w:lang w:val="en-IE"/>
        </w:rPr>
        <w:t>management measures to minimise lead emissions from sports shooting with lead gunshot can be monitored</w:t>
      </w:r>
      <w:r w:rsidR="0052478A" w:rsidRPr="00A81AFE">
        <w:rPr>
          <w:lang w:val="en-IE"/>
        </w:rPr>
        <w:t>.</w:t>
      </w:r>
      <w:r w:rsidR="00185C52" w:rsidRPr="00A81AFE">
        <w:rPr>
          <w:lang w:val="en-IE"/>
        </w:rPr>
        <w:t xml:space="preserve"> </w:t>
      </w:r>
      <w:r w:rsidR="00C27CF7" w:rsidRPr="00A81AFE">
        <w:rPr>
          <w:lang w:val="en-IE"/>
        </w:rPr>
        <w:t>T</w:t>
      </w:r>
      <w:r w:rsidRPr="00A81AFE">
        <w:rPr>
          <w:lang w:val="en-IE"/>
        </w:rPr>
        <w:t xml:space="preserve">he Commission </w:t>
      </w:r>
      <w:r w:rsidR="00C27CF7" w:rsidRPr="00A81AFE">
        <w:rPr>
          <w:lang w:val="en-IE"/>
        </w:rPr>
        <w:t>also</w:t>
      </w:r>
      <w:r w:rsidRPr="00A81AFE">
        <w:rPr>
          <w:lang w:val="en-IE"/>
        </w:rPr>
        <w:t xml:space="preserve"> considers that a rev</w:t>
      </w:r>
      <w:r w:rsidR="00B849AD" w:rsidRPr="00A81AFE">
        <w:rPr>
          <w:lang w:val="en-IE"/>
        </w:rPr>
        <w:t>iew</w:t>
      </w:r>
      <w:r w:rsidRPr="00A81AFE">
        <w:rPr>
          <w:lang w:val="en-IE"/>
        </w:rPr>
        <w:t xml:space="preserve"> of </w:t>
      </w:r>
      <w:r w:rsidRPr="00A81AFE">
        <w:t>th</w:t>
      </w:r>
      <w:r w:rsidR="00353E2F" w:rsidRPr="00A81AFE">
        <w:t>at</w:t>
      </w:r>
      <w:r w:rsidRPr="00A81AFE">
        <w:rPr>
          <w:lang w:val="en-IE"/>
        </w:rPr>
        <w:t xml:space="preserve"> derogation after </w:t>
      </w:r>
      <w:r w:rsidR="000A06AC" w:rsidRPr="00A81AFE">
        <w:rPr>
          <w:lang w:val="en-IE"/>
        </w:rPr>
        <w:t xml:space="preserve">10 </w:t>
      </w:r>
      <w:r w:rsidRPr="00A81AFE">
        <w:rPr>
          <w:lang w:val="en-IE"/>
        </w:rPr>
        <w:t xml:space="preserve">years is needed </w:t>
      </w:r>
      <w:r w:rsidR="00C27CF7" w:rsidRPr="00A81AFE">
        <w:rPr>
          <w:lang w:val="en-IE"/>
        </w:rPr>
        <w:t xml:space="preserve">in order </w:t>
      </w:r>
      <w:r w:rsidRPr="00A81AFE">
        <w:rPr>
          <w:lang w:val="en-IE"/>
        </w:rPr>
        <w:t xml:space="preserve">to evaluate the </w:t>
      </w:r>
      <w:r w:rsidR="000C0CBF" w:rsidRPr="00A81AFE">
        <w:rPr>
          <w:lang w:val="en-IE"/>
        </w:rPr>
        <w:t xml:space="preserve">progress </w:t>
      </w:r>
      <w:r w:rsidR="00C27CF7" w:rsidRPr="00A81AFE">
        <w:rPr>
          <w:lang w:val="en-IE"/>
        </w:rPr>
        <w:t xml:space="preserve">made </w:t>
      </w:r>
      <w:r w:rsidR="000C0CBF" w:rsidRPr="00A81AFE">
        <w:rPr>
          <w:lang w:val="en-IE"/>
        </w:rPr>
        <w:t xml:space="preserve">towards </w:t>
      </w:r>
      <w:r w:rsidR="00C27CF7" w:rsidRPr="00A81AFE">
        <w:rPr>
          <w:lang w:val="en-IE"/>
        </w:rPr>
        <w:t xml:space="preserve">achieving </w:t>
      </w:r>
      <w:r w:rsidR="000C0CBF" w:rsidRPr="00A81AFE">
        <w:t>a</w:t>
      </w:r>
      <w:r w:rsidR="00D046B3" w:rsidRPr="00A81AFE">
        <w:t xml:space="preserve"> Union</w:t>
      </w:r>
      <w:r w:rsidR="000A06AC" w:rsidRPr="00A81AFE">
        <w:rPr>
          <w:lang w:val="en-IE"/>
        </w:rPr>
        <w:t>-wide</w:t>
      </w:r>
      <w:r w:rsidR="00D21C39" w:rsidRPr="00A81AFE">
        <w:rPr>
          <w:lang w:val="en-IE"/>
        </w:rPr>
        <w:t xml:space="preserve"> switch to </w:t>
      </w:r>
      <w:r w:rsidR="00F046A9" w:rsidRPr="00A81AFE">
        <w:rPr>
          <w:lang w:val="en-IE"/>
        </w:rPr>
        <w:t>alternatives</w:t>
      </w:r>
      <w:r w:rsidR="00D21C39" w:rsidRPr="00A81AFE">
        <w:rPr>
          <w:lang w:val="en-IE"/>
        </w:rPr>
        <w:t xml:space="preserve"> in sports shooting</w:t>
      </w:r>
      <w:r w:rsidRPr="00A81AFE">
        <w:rPr>
          <w:lang w:val="en-IE"/>
        </w:rPr>
        <w:t>.</w:t>
      </w:r>
    </w:p>
    <w:p w14:paraId="5E40AD7B" w14:textId="77777777" w:rsidR="00BB3A32" w:rsidRPr="00A81AFE" w:rsidRDefault="0039672D" w:rsidP="0093264D">
      <w:pPr>
        <w:pStyle w:val="Considrant"/>
        <w:rPr>
          <w:lang w:val="en-IE"/>
        </w:rPr>
      </w:pPr>
      <w:r w:rsidRPr="00A81AFE">
        <w:rPr>
          <w:lang w:val="en-IE"/>
        </w:rPr>
        <w:t>The Commission considers</w:t>
      </w:r>
      <w:r w:rsidR="000A06AC" w:rsidRPr="00A81AFE">
        <w:rPr>
          <w:lang w:val="en-IE"/>
        </w:rPr>
        <w:t xml:space="preserve"> it</w:t>
      </w:r>
      <w:r w:rsidRPr="00A81AFE">
        <w:rPr>
          <w:lang w:val="en-IE"/>
        </w:rPr>
        <w:t xml:space="preserve"> appropriate to include a derogation from the ban on the use of lead bullets for sports shooting, </w:t>
      </w:r>
      <w:r w:rsidR="0096748D" w:rsidRPr="00A81AFE">
        <w:rPr>
          <w:lang w:val="en-IE"/>
        </w:rPr>
        <w:t>as suggested by the Agency</w:t>
      </w:r>
      <w:r w:rsidR="007766C5" w:rsidRPr="00A81AFE">
        <w:rPr>
          <w:lang w:val="en-IE"/>
        </w:rPr>
        <w:t xml:space="preserve">. However, </w:t>
      </w:r>
      <w:r w:rsidR="00C27CF7" w:rsidRPr="00A81AFE">
        <w:rPr>
          <w:lang w:val="en-IE"/>
        </w:rPr>
        <w:t>in order</w:t>
      </w:r>
      <w:r w:rsidR="007766C5" w:rsidRPr="00A81AFE">
        <w:rPr>
          <w:lang w:val="en-IE"/>
        </w:rPr>
        <w:t xml:space="preserve"> to ensure that a sufficient number of sports</w:t>
      </w:r>
      <w:r w:rsidR="00583153" w:rsidRPr="00A81AFE">
        <w:rPr>
          <w:lang w:val="en-IE"/>
        </w:rPr>
        <w:t xml:space="preserve"> </w:t>
      </w:r>
      <w:r w:rsidR="007766C5" w:rsidRPr="00A81AFE">
        <w:rPr>
          <w:lang w:val="en-IE"/>
        </w:rPr>
        <w:t xml:space="preserve">shooting ranges remain available to reservists </w:t>
      </w:r>
      <w:r w:rsidR="00E43B18" w:rsidRPr="00A81AFE">
        <w:t xml:space="preserve">who need to </w:t>
      </w:r>
      <w:r w:rsidR="007766C5" w:rsidRPr="00A81AFE">
        <w:rPr>
          <w:lang w:val="en-IE"/>
        </w:rPr>
        <w:t>train</w:t>
      </w:r>
      <w:r w:rsidR="00D74453" w:rsidRPr="00A81AFE">
        <w:rPr>
          <w:lang w:val="en-IE"/>
        </w:rPr>
        <w:t xml:space="preserve"> </w:t>
      </w:r>
      <w:r w:rsidR="007766C5" w:rsidRPr="00A81AFE">
        <w:rPr>
          <w:lang w:val="en-IE"/>
        </w:rPr>
        <w:t>with lead bullets as part of defence preparedness</w:t>
      </w:r>
      <w:r w:rsidR="0096748D" w:rsidRPr="00A81AFE">
        <w:rPr>
          <w:lang w:val="en-IE"/>
        </w:rPr>
        <w:t xml:space="preserve">, </w:t>
      </w:r>
      <w:r w:rsidR="007766C5" w:rsidRPr="00A81AFE">
        <w:rPr>
          <w:lang w:val="en-IE"/>
        </w:rPr>
        <w:t>the Commission</w:t>
      </w:r>
      <w:r w:rsidR="00E028C0" w:rsidRPr="00A81AFE">
        <w:rPr>
          <w:lang w:val="en-IE"/>
        </w:rPr>
        <w:t xml:space="preserve"> consider</w:t>
      </w:r>
      <w:r w:rsidR="007766C5" w:rsidRPr="00A81AFE">
        <w:rPr>
          <w:lang w:val="en-IE"/>
        </w:rPr>
        <w:t>s</w:t>
      </w:r>
      <w:r w:rsidR="00E028C0" w:rsidRPr="00A81AFE">
        <w:rPr>
          <w:lang w:val="en-IE"/>
        </w:rPr>
        <w:t xml:space="preserve"> that </w:t>
      </w:r>
      <w:r w:rsidR="007766C5" w:rsidRPr="00A81AFE">
        <w:rPr>
          <w:lang w:val="en-IE"/>
        </w:rPr>
        <w:t>the derogation</w:t>
      </w:r>
      <w:r w:rsidR="00E028C0" w:rsidRPr="00A81AFE">
        <w:rPr>
          <w:lang w:val="en-IE"/>
        </w:rPr>
        <w:t xml:space="preserve"> should not be conditional </w:t>
      </w:r>
      <w:r w:rsidR="00C27CF7" w:rsidRPr="00A81AFE">
        <w:rPr>
          <w:lang w:val="en-IE"/>
        </w:rPr>
        <w:t>upon</w:t>
      </w:r>
      <w:r w:rsidR="00E028C0" w:rsidRPr="00A81AFE">
        <w:rPr>
          <w:lang w:val="en-IE"/>
        </w:rPr>
        <w:t xml:space="preserve"> </w:t>
      </w:r>
      <w:r w:rsidR="00361692" w:rsidRPr="00A81AFE">
        <w:rPr>
          <w:lang w:val="en-IE"/>
        </w:rPr>
        <w:t>appropriate</w:t>
      </w:r>
      <w:r w:rsidR="0096748D" w:rsidRPr="00A81AFE">
        <w:rPr>
          <w:lang w:val="en-IE"/>
        </w:rPr>
        <w:t xml:space="preserve"> </w:t>
      </w:r>
      <w:r w:rsidRPr="00A81AFE">
        <w:rPr>
          <w:lang w:val="en-IE"/>
        </w:rPr>
        <w:t>risk</w:t>
      </w:r>
      <w:r w:rsidR="00583153" w:rsidRPr="00A81AFE">
        <w:rPr>
          <w:lang w:val="en-IE"/>
        </w:rPr>
        <w:t xml:space="preserve"> </w:t>
      </w:r>
      <w:r w:rsidRPr="00A81AFE">
        <w:rPr>
          <w:lang w:val="en-IE"/>
        </w:rPr>
        <w:t>management measures</w:t>
      </w:r>
      <w:r w:rsidR="0096748D" w:rsidRPr="00A81AFE">
        <w:rPr>
          <w:lang w:val="en-IE"/>
        </w:rPr>
        <w:t xml:space="preserve"> </w:t>
      </w:r>
      <w:r w:rsidR="00E028C0" w:rsidRPr="00A81AFE">
        <w:rPr>
          <w:lang w:val="en-IE"/>
        </w:rPr>
        <w:t xml:space="preserve">being </w:t>
      </w:r>
      <w:r w:rsidRPr="00A81AFE">
        <w:rPr>
          <w:lang w:val="en-IE"/>
        </w:rPr>
        <w:t>implemented at sports</w:t>
      </w:r>
      <w:r w:rsidR="00583153" w:rsidRPr="00A81AFE">
        <w:rPr>
          <w:lang w:val="en-IE"/>
        </w:rPr>
        <w:t xml:space="preserve"> </w:t>
      </w:r>
      <w:r w:rsidRPr="00A81AFE">
        <w:rPr>
          <w:lang w:val="en-IE"/>
        </w:rPr>
        <w:t>shooting ranges</w:t>
      </w:r>
      <w:r w:rsidR="00AC4389" w:rsidRPr="00A81AFE">
        <w:rPr>
          <w:lang w:val="en-IE"/>
        </w:rPr>
        <w:t xml:space="preserve">. </w:t>
      </w:r>
      <w:r w:rsidR="00C27CF7" w:rsidRPr="00A81AFE">
        <w:rPr>
          <w:lang w:val="en-IE"/>
        </w:rPr>
        <w:t>T</w:t>
      </w:r>
      <w:r w:rsidR="00AC4389" w:rsidRPr="00A81AFE">
        <w:rPr>
          <w:lang w:val="en-IE"/>
        </w:rPr>
        <w:t xml:space="preserve">he Commission </w:t>
      </w:r>
      <w:r w:rsidR="00C27CF7" w:rsidRPr="00A81AFE">
        <w:rPr>
          <w:lang w:val="en-IE"/>
        </w:rPr>
        <w:t xml:space="preserve">also </w:t>
      </w:r>
      <w:r w:rsidR="00AC4389" w:rsidRPr="00A81AFE">
        <w:rPr>
          <w:lang w:val="en-IE"/>
        </w:rPr>
        <w:t xml:space="preserve">considers that a review of this derogation after 10 years is needed </w:t>
      </w:r>
      <w:r w:rsidR="00C27CF7" w:rsidRPr="00A81AFE">
        <w:rPr>
          <w:lang w:val="en-IE"/>
        </w:rPr>
        <w:t xml:space="preserve">in order </w:t>
      </w:r>
      <w:r w:rsidR="00AC4389" w:rsidRPr="00A81AFE">
        <w:rPr>
          <w:lang w:val="en-IE"/>
        </w:rPr>
        <w:t>to evaluate whether it is still justified.</w:t>
      </w:r>
      <w:r w:rsidR="00C9565C" w:rsidRPr="00A81AFE">
        <w:rPr>
          <w:lang w:val="en-IE"/>
        </w:rPr>
        <w:t xml:space="preserve"> </w:t>
      </w:r>
    </w:p>
    <w:p w14:paraId="724C2916" w14:textId="77777777" w:rsidR="0093264D" w:rsidRPr="00A81AFE" w:rsidRDefault="00FB38A7" w:rsidP="0093264D">
      <w:pPr>
        <w:pStyle w:val="Considrant"/>
        <w:rPr>
          <w:lang w:val="en-IE"/>
        </w:rPr>
      </w:pPr>
      <w:r w:rsidRPr="00A81AFE">
        <w:rPr>
          <w:lang w:val="en-IE"/>
        </w:rPr>
        <w:t xml:space="preserve">The Commission considers it appropriate to </w:t>
      </w:r>
      <w:r w:rsidR="00583153" w:rsidRPr="00A81AFE">
        <w:rPr>
          <w:lang w:val="en-IE"/>
        </w:rPr>
        <w:t xml:space="preserve">allow </w:t>
      </w:r>
      <w:r w:rsidRPr="00A81AFE">
        <w:rPr>
          <w:lang w:val="en-IE"/>
        </w:rPr>
        <w:t>derogations from the restriction for lead ammunition fired from historic firearms</w:t>
      </w:r>
      <w:r w:rsidR="00C27CF7" w:rsidRPr="00A81AFE">
        <w:rPr>
          <w:lang w:val="en-IE"/>
        </w:rPr>
        <w:t xml:space="preserve"> (</w:t>
      </w:r>
      <w:r w:rsidR="008B344D" w:rsidRPr="00A81AFE">
        <w:rPr>
          <w:lang w:val="en-IE"/>
        </w:rPr>
        <w:t>such as muzzle loaders or breechloading guns</w:t>
      </w:r>
      <w:r w:rsidR="00C27CF7" w:rsidRPr="00A81AFE">
        <w:rPr>
          <w:lang w:val="en-IE"/>
        </w:rPr>
        <w:t>)</w:t>
      </w:r>
      <w:r w:rsidR="008B344D" w:rsidRPr="00A81AFE">
        <w:rPr>
          <w:lang w:val="en-IE"/>
        </w:rPr>
        <w:t xml:space="preserve"> </w:t>
      </w:r>
      <w:r w:rsidRPr="00A81AFE">
        <w:rPr>
          <w:lang w:val="en-IE"/>
        </w:rPr>
        <w:t xml:space="preserve">and their modern replicas, </w:t>
      </w:r>
      <w:r w:rsidR="00C27CF7" w:rsidRPr="00A81AFE">
        <w:rPr>
          <w:lang w:val="en-IE"/>
        </w:rPr>
        <w:t xml:space="preserve">because </w:t>
      </w:r>
      <w:r w:rsidR="008B344D" w:rsidRPr="00A81AFE">
        <w:rPr>
          <w:lang w:val="en-IE"/>
        </w:rPr>
        <w:t xml:space="preserve">there </w:t>
      </w:r>
      <w:r w:rsidR="000D4E27" w:rsidRPr="00A81AFE">
        <w:rPr>
          <w:lang w:val="en-IE"/>
        </w:rPr>
        <w:t xml:space="preserve">is </w:t>
      </w:r>
      <w:r w:rsidR="008B344D" w:rsidRPr="00A81AFE">
        <w:rPr>
          <w:lang w:val="en-IE"/>
        </w:rPr>
        <w:t xml:space="preserve">no suitable alternative ammunition that would not risk irreparably damaging them. In addition, </w:t>
      </w:r>
      <w:r w:rsidRPr="00A81AFE">
        <w:rPr>
          <w:lang w:val="en-IE"/>
        </w:rPr>
        <w:t xml:space="preserve">RAC </w:t>
      </w:r>
      <w:r w:rsidR="000D4E27" w:rsidRPr="00A81AFE">
        <w:rPr>
          <w:lang w:val="en-IE"/>
        </w:rPr>
        <w:t xml:space="preserve">recognised </w:t>
      </w:r>
      <w:r w:rsidRPr="00A81AFE">
        <w:rPr>
          <w:lang w:val="en-IE"/>
        </w:rPr>
        <w:t xml:space="preserve">that their use is limited in volume and </w:t>
      </w:r>
      <w:r w:rsidR="00C27CF7" w:rsidRPr="00A81AFE">
        <w:rPr>
          <w:lang w:val="en-IE"/>
        </w:rPr>
        <w:t xml:space="preserve">that </w:t>
      </w:r>
      <w:r w:rsidRPr="00A81AFE">
        <w:rPr>
          <w:lang w:val="en-IE"/>
        </w:rPr>
        <w:t xml:space="preserve">the impact of the derogation on overall risk reduction </w:t>
      </w:r>
      <w:r w:rsidR="00583153" w:rsidRPr="00A81AFE">
        <w:rPr>
          <w:lang w:val="en-IE"/>
        </w:rPr>
        <w:t xml:space="preserve">would </w:t>
      </w:r>
      <w:r w:rsidR="00C27CF7" w:rsidRPr="00A81AFE">
        <w:rPr>
          <w:lang w:val="en-IE"/>
        </w:rPr>
        <w:t>therefore</w:t>
      </w:r>
      <w:r w:rsidR="00583153" w:rsidRPr="00A81AFE">
        <w:rPr>
          <w:lang w:val="en-IE"/>
        </w:rPr>
        <w:t xml:space="preserve"> be</w:t>
      </w:r>
      <w:r w:rsidR="00C27CF7" w:rsidRPr="00A81AFE">
        <w:rPr>
          <w:lang w:val="en-IE"/>
        </w:rPr>
        <w:t xml:space="preserve"> </w:t>
      </w:r>
      <w:r w:rsidRPr="00A81AFE">
        <w:rPr>
          <w:lang w:val="en-IE"/>
        </w:rPr>
        <w:t>low.</w:t>
      </w:r>
    </w:p>
    <w:p w14:paraId="6ED13649" w14:textId="77777777" w:rsidR="00B00A1B" w:rsidRPr="00A81AFE" w:rsidRDefault="00A70DE3" w:rsidP="00B00A1B">
      <w:pPr>
        <w:pStyle w:val="Considrant"/>
        <w:rPr>
          <w:lang w:val="en-IE"/>
        </w:rPr>
      </w:pPr>
      <w:r w:rsidRPr="00A81AFE">
        <w:rPr>
          <w:lang w:val="en-IE"/>
        </w:rPr>
        <w:t xml:space="preserve">For bullets </w:t>
      </w:r>
      <w:r w:rsidR="008D3BF9" w:rsidRPr="00A81AFE">
        <w:rPr>
          <w:lang w:val="en-IE"/>
        </w:rPr>
        <w:t xml:space="preserve">containing </w:t>
      </w:r>
      <w:r w:rsidR="00C17884" w:rsidRPr="00A81AFE">
        <w:rPr>
          <w:lang w:val="en-IE"/>
        </w:rPr>
        <w:t xml:space="preserve">copper or </w:t>
      </w:r>
      <w:r w:rsidRPr="00A81AFE">
        <w:rPr>
          <w:lang w:val="en-IE"/>
        </w:rPr>
        <w:t xml:space="preserve">copper alloys </w:t>
      </w:r>
      <w:r w:rsidR="00F84D25" w:rsidRPr="00A81AFE">
        <w:rPr>
          <w:lang w:val="en-IE"/>
        </w:rPr>
        <w:t>such as brass</w:t>
      </w:r>
      <w:r w:rsidR="008859D8" w:rsidRPr="00A81AFE">
        <w:rPr>
          <w:lang w:val="en-IE"/>
        </w:rPr>
        <w:t xml:space="preserve"> or bronze</w:t>
      </w:r>
      <w:r w:rsidR="00F84D25" w:rsidRPr="00A81AFE">
        <w:rPr>
          <w:lang w:val="en-IE"/>
        </w:rPr>
        <w:t xml:space="preserve">, </w:t>
      </w:r>
      <w:r w:rsidR="008D3BF9" w:rsidRPr="00A81AFE">
        <w:rPr>
          <w:lang w:val="en-IE"/>
        </w:rPr>
        <w:t xml:space="preserve">and </w:t>
      </w:r>
      <w:r w:rsidR="00C27CF7" w:rsidRPr="00A81AFE">
        <w:rPr>
          <w:lang w:val="en-IE"/>
        </w:rPr>
        <w:t xml:space="preserve">for </w:t>
      </w:r>
      <w:r w:rsidR="008D3BF9" w:rsidRPr="00A81AFE">
        <w:rPr>
          <w:lang w:val="en-IE"/>
        </w:rPr>
        <w:t xml:space="preserve">fishing lures containing copper alloys, </w:t>
      </w:r>
      <w:r w:rsidRPr="00A81AFE">
        <w:rPr>
          <w:lang w:val="en-IE"/>
        </w:rPr>
        <w:t xml:space="preserve">a concentration </w:t>
      </w:r>
      <w:r w:rsidR="009008DA" w:rsidRPr="00A81AFE">
        <w:rPr>
          <w:lang w:val="en-IE"/>
        </w:rPr>
        <w:t xml:space="preserve">of lead </w:t>
      </w:r>
      <w:r w:rsidR="00CB7A4E" w:rsidRPr="00A81AFE">
        <w:rPr>
          <w:lang w:val="en-IE"/>
        </w:rPr>
        <w:t>less than</w:t>
      </w:r>
      <w:r w:rsidR="009008DA" w:rsidRPr="00A81AFE">
        <w:rPr>
          <w:lang w:val="en-IE"/>
        </w:rPr>
        <w:t xml:space="preserve"> </w:t>
      </w:r>
      <w:r w:rsidRPr="00A81AFE">
        <w:rPr>
          <w:lang w:val="en-IE"/>
        </w:rPr>
        <w:t xml:space="preserve">3% </w:t>
      </w:r>
      <w:r w:rsidR="00115401" w:rsidRPr="00A81AFE">
        <w:t xml:space="preserve">by weight </w:t>
      </w:r>
      <w:r w:rsidRPr="00A81AFE">
        <w:rPr>
          <w:lang w:val="en-IE"/>
        </w:rPr>
        <w:t xml:space="preserve">should be </w:t>
      </w:r>
      <w:r w:rsidR="009008DA" w:rsidRPr="00A81AFE">
        <w:rPr>
          <w:lang w:val="en-IE"/>
        </w:rPr>
        <w:t xml:space="preserve">allowed </w:t>
      </w:r>
      <w:r w:rsidR="00C27CF7" w:rsidRPr="00A81AFE">
        <w:rPr>
          <w:lang w:val="en-IE"/>
        </w:rPr>
        <w:t xml:space="preserve">in order </w:t>
      </w:r>
      <w:r w:rsidR="009008DA" w:rsidRPr="00A81AFE">
        <w:rPr>
          <w:lang w:val="en-IE"/>
        </w:rPr>
        <w:t xml:space="preserve">to </w:t>
      </w:r>
      <w:r w:rsidR="00BA1724" w:rsidRPr="00A81AFE">
        <w:rPr>
          <w:lang w:val="en-IE"/>
        </w:rPr>
        <w:t>avoid changes in machinery leading to large increases in production costs</w:t>
      </w:r>
      <w:r w:rsidR="0038603B" w:rsidRPr="00A81AFE">
        <w:rPr>
          <w:lang w:val="en-IE"/>
        </w:rPr>
        <w:t xml:space="preserve">. </w:t>
      </w:r>
      <w:r w:rsidR="009008DA" w:rsidRPr="00A81AFE">
        <w:t>Th</w:t>
      </w:r>
      <w:r w:rsidR="004928D2" w:rsidRPr="00A81AFE">
        <w:t>at</w:t>
      </w:r>
      <w:r w:rsidR="009008DA" w:rsidRPr="00A81AFE">
        <w:rPr>
          <w:lang w:val="en-IE"/>
        </w:rPr>
        <w:t xml:space="preserve"> derogation is necessary </w:t>
      </w:r>
      <w:r w:rsidR="00C27CF7" w:rsidRPr="00A81AFE">
        <w:rPr>
          <w:lang w:val="en-IE"/>
        </w:rPr>
        <w:t>in order</w:t>
      </w:r>
      <w:r w:rsidR="009008DA" w:rsidRPr="00A81AFE">
        <w:rPr>
          <w:lang w:val="en-IE"/>
        </w:rPr>
        <w:t xml:space="preserve"> to ensure the continu</w:t>
      </w:r>
      <w:r w:rsidR="00C27CF7" w:rsidRPr="00A81AFE">
        <w:rPr>
          <w:lang w:val="en-IE"/>
        </w:rPr>
        <w:t>ing</w:t>
      </w:r>
      <w:r w:rsidR="009008DA" w:rsidRPr="00A81AFE">
        <w:rPr>
          <w:lang w:val="en-IE"/>
        </w:rPr>
        <w:t xml:space="preserve"> production of copper and brass bullets, and </w:t>
      </w:r>
      <w:r w:rsidR="00BE39F5" w:rsidRPr="00A81AFE">
        <w:rPr>
          <w:lang w:val="en-IE"/>
        </w:rPr>
        <w:t>brass lures</w:t>
      </w:r>
      <w:r w:rsidR="009008DA" w:rsidRPr="00A81AFE">
        <w:rPr>
          <w:lang w:val="en-IE"/>
        </w:rPr>
        <w:t>, which</w:t>
      </w:r>
      <w:r w:rsidR="00BE39F5" w:rsidRPr="00A81AFE">
        <w:rPr>
          <w:lang w:val="en-IE"/>
        </w:rPr>
        <w:t xml:space="preserve"> are the most common alternative</w:t>
      </w:r>
      <w:r w:rsidR="009008DA" w:rsidRPr="00A81AFE">
        <w:rPr>
          <w:lang w:val="en-IE"/>
        </w:rPr>
        <w:t>s</w:t>
      </w:r>
      <w:r w:rsidR="00BE39F5" w:rsidRPr="00A81AFE">
        <w:rPr>
          <w:lang w:val="en-IE"/>
        </w:rPr>
        <w:t xml:space="preserve"> to lead </w:t>
      </w:r>
      <w:r w:rsidR="009008DA" w:rsidRPr="00A81AFE">
        <w:rPr>
          <w:lang w:val="en-IE"/>
        </w:rPr>
        <w:t xml:space="preserve">bullets and </w:t>
      </w:r>
      <w:r w:rsidR="00BE39F5" w:rsidRPr="00A81AFE">
        <w:rPr>
          <w:lang w:val="en-IE"/>
        </w:rPr>
        <w:t>lures</w:t>
      </w:r>
      <w:r w:rsidRPr="00A81AFE">
        <w:rPr>
          <w:lang w:val="en-IE"/>
        </w:rPr>
        <w:t>.</w:t>
      </w:r>
      <w:r w:rsidR="0093264D" w:rsidRPr="00A81AFE">
        <w:rPr>
          <w:lang w:val="en-IE"/>
        </w:rPr>
        <w:t xml:space="preserve"> </w:t>
      </w:r>
      <w:r w:rsidR="00FB4AEC" w:rsidRPr="00A81AFE">
        <w:t>T</w:t>
      </w:r>
      <w:r w:rsidR="004B32F1" w:rsidRPr="00A81AFE">
        <w:t xml:space="preserve">he </w:t>
      </w:r>
      <w:r w:rsidR="00FB6D04" w:rsidRPr="00A81AFE">
        <w:t>C</w:t>
      </w:r>
      <w:r w:rsidR="00BE39F5" w:rsidRPr="00A81AFE">
        <w:t xml:space="preserve">ommission </w:t>
      </w:r>
      <w:r w:rsidR="00FB6D04" w:rsidRPr="00A81AFE">
        <w:t xml:space="preserve">does not </w:t>
      </w:r>
      <w:r w:rsidR="005C0A65" w:rsidRPr="00A81AFE">
        <w:t>consider</w:t>
      </w:r>
      <w:r w:rsidR="004B32F1" w:rsidRPr="00A81AFE">
        <w:t xml:space="preserve"> </w:t>
      </w:r>
      <w:r w:rsidR="005C0A65" w:rsidRPr="00A81AFE">
        <w:t xml:space="preserve">feasible </w:t>
      </w:r>
      <w:r w:rsidR="000C6498" w:rsidRPr="00A81AFE">
        <w:rPr>
          <w:lang w:val="en-IE"/>
        </w:rPr>
        <w:t xml:space="preserve">the Agency’s suggestion that the </w:t>
      </w:r>
      <w:r w:rsidR="00FB6D04" w:rsidRPr="00A81AFE">
        <w:t xml:space="preserve">derogation </w:t>
      </w:r>
      <w:r w:rsidR="000C6498" w:rsidRPr="00A81AFE">
        <w:rPr>
          <w:lang w:val="en-IE"/>
        </w:rPr>
        <w:t xml:space="preserve">should be reviewed </w:t>
      </w:r>
      <w:r w:rsidR="00FB6D04" w:rsidRPr="00A81AFE">
        <w:t xml:space="preserve">before the </w:t>
      </w:r>
      <w:r w:rsidR="000C6498" w:rsidRPr="00A81AFE">
        <w:rPr>
          <w:lang w:val="en-IE"/>
        </w:rPr>
        <w:t xml:space="preserve">Regulation enters </w:t>
      </w:r>
      <w:r w:rsidR="00FB6D04" w:rsidRPr="00A81AFE">
        <w:t>into force</w:t>
      </w:r>
      <w:r w:rsidR="005C0A65" w:rsidRPr="00A81AFE">
        <w:t>.</w:t>
      </w:r>
      <w:r w:rsidR="005C0A65" w:rsidRPr="00A81AFE">
        <w:rPr>
          <w:lang w:val="en-IE"/>
        </w:rPr>
        <w:t xml:space="preserve"> A review may be considered in the future </w:t>
      </w:r>
      <w:r w:rsidR="000C6498" w:rsidRPr="00A81AFE">
        <w:rPr>
          <w:lang w:val="en-IE"/>
        </w:rPr>
        <w:t xml:space="preserve">if </w:t>
      </w:r>
      <w:r w:rsidR="005C0A65" w:rsidRPr="00A81AFE">
        <w:rPr>
          <w:lang w:val="en-IE"/>
        </w:rPr>
        <w:t>evidence emerge</w:t>
      </w:r>
      <w:r w:rsidR="000C6498" w:rsidRPr="00A81AFE">
        <w:rPr>
          <w:lang w:val="en-IE"/>
        </w:rPr>
        <w:t>s</w:t>
      </w:r>
      <w:r w:rsidR="005C0A65" w:rsidRPr="00A81AFE">
        <w:rPr>
          <w:lang w:val="en-IE"/>
        </w:rPr>
        <w:t xml:space="preserve"> that </w:t>
      </w:r>
      <w:r w:rsidR="009008DA" w:rsidRPr="00A81AFE">
        <w:rPr>
          <w:lang w:val="en-IE"/>
        </w:rPr>
        <w:t xml:space="preserve">new </w:t>
      </w:r>
      <w:r w:rsidR="00FB6D04" w:rsidRPr="00A81AFE">
        <w:rPr>
          <w:lang w:val="en-IE"/>
        </w:rPr>
        <w:t xml:space="preserve">copper alloys containing </w:t>
      </w:r>
      <w:r w:rsidR="004B34B8" w:rsidRPr="00A81AFE">
        <w:rPr>
          <w:lang w:val="en-IE"/>
        </w:rPr>
        <w:t xml:space="preserve">less than </w:t>
      </w:r>
      <w:r w:rsidR="00FB6D04" w:rsidRPr="00A81AFE">
        <w:rPr>
          <w:lang w:val="en-IE"/>
        </w:rPr>
        <w:t>1% lead</w:t>
      </w:r>
      <w:r w:rsidR="00CE03E5" w:rsidRPr="00A81AFE">
        <w:t xml:space="preserve"> by weight</w:t>
      </w:r>
      <w:r w:rsidR="00FB6D04" w:rsidRPr="00A81AFE">
        <w:rPr>
          <w:lang w:val="en-IE"/>
        </w:rPr>
        <w:t xml:space="preserve"> </w:t>
      </w:r>
      <w:r w:rsidR="009008DA" w:rsidRPr="00A81AFE">
        <w:rPr>
          <w:lang w:val="en-IE"/>
        </w:rPr>
        <w:t>but</w:t>
      </w:r>
      <w:r w:rsidR="00FB6D04" w:rsidRPr="00A81AFE">
        <w:rPr>
          <w:lang w:val="en-IE"/>
        </w:rPr>
        <w:t xml:space="preserve"> keeping the necessary machinability</w:t>
      </w:r>
      <w:r w:rsidR="00D74453" w:rsidRPr="00A81AFE">
        <w:rPr>
          <w:lang w:val="en-IE"/>
        </w:rPr>
        <w:t xml:space="preserve"> </w:t>
      </w:r>
      <w:r w:rsidR="00FB6D04" w:rsidRPr="00A81AFE">
        <w:rPr>
          <w:lang w:val="en-IE"/>
        </w:rPr>
        <w:t xml:space="preserve">have been developed. </w:t>
      </w:r>
    </w:p>
    <w:p w14:paraId="6B1C941D" w14:textId="77777777" w:rsidR="003153DD" w:rsidRPr="00A81AFE" w:rsidRDefault="00152E26" w:rsidP="00BB2A8E">
      <w:pPr>
        <w:pStyle w:val="Considrant"/>
        <w:rPr>
          <w:lang w:val="en-IE"/>
        </w:rPr>
      </w:pPr>
      <w:r w:rsidRPr="00A81AFE">
        <w:rPr>
          <w:lang w:val="en-IE"/>
        </w:rPr>
        <w:t xml:space="preserve">The Commission agrees with </w:t>
      </w:r>
      <w:r w:rsidR="005C0A65" w:rsidRPr="00A81AFE">
        <w:rPr>
          <w:lang w:val="en-IE"/>
        </w:rPr>
        <w:t xml:space="preserve">the Agency and </w:t>
      </w:r>
      <w:r w:rsidRPr="00A81AFE">
        <w:rPr>
          <w:lang w:val="en-IE"/>
        </w:rPr>
        <w:t xml:space="preserve">SEAC on the need to grant a derogation for ammunition used in seal hunting and </w:t>
      </w:r>
      <w:r w:rsidR="00E028C0" w:rsidRPr="00A81AFE">
        <w:rPr>
          <w:lang w:val="en-IE"/>
        </w:rPr>
        <w:t>for full</w:t>
      </w:r>
      <w:r w:rsidR="00BC1009" w:rsidRPr="00A81AFE">
        <w:rPr>
          <w:lang w:val="en-IE"/>
        </w:rPr>
        <w:t xml:space="preserve"> </w:t>
      </w:r>
      <w:r w:rsidR="00E028C0" w:rsidRPr="00A81AFE">
        <w:rPr>
          <w:lang w:val="en-IE"/>
        </w:rPr>
        <w:t>metal</w:t>
      </w:r>
      <w:r w:rsidR="00BC1009" w:rsidRPr="00A81AFE">
        <w:rPr>
          <w:lang w:val="en-IE"/>
        </w:rPr>
        <w:t xml:space="preserve"> </w:t>
      </w:r>
      <w:r w:rsidRPr="00A81AFE">
        <w:rPr>
          <w:lang w:val="en-IE"/>
        </w:rPr>
        <w:t xml:space="preserve">jacket bullets. It considers </w:t>
      </w:r>
      <w:r w:rsidR="004B32F1" w:rsidRPr="00A81AFE">
        <w:rPr>
          <w:lang w:val="en-IE"/>
        </w:rPr>
        <w:t xml:space="preserve">it </w:t>
      </w:r>
      <w:r w:rsidRPr="00A81AFE">
        <w:rPr>
          <w:lang w:val="en-IE"/>
        </w:rPr>
        <w:t>justified to explicitly include non-expanding open</w:t>
      </w:r>
      <w:r w:rsidR="00BC1009" w:rsidRPr="00A81AFE">
        <w:rPr>
          <w:lang w:val="en-IE"/>
        </w:rPr>
        <w:t xml:space="preserve"> </w:t>
      </w:r>
      <w:r w:rsidRPr="00A81AFE">
        <w:rPr>
          <w:lang w:val="en-IE"/>
        </w:rPr>
        <w:t xml:space="preserve">tip match bullets </w:t>
      </w:r>
      <w:r w:rsidR="002A6C5A" w:rsidRPr="00A81AFE">
        <w:t>with</w:t>
      </w:r>
      <w:r w:rsidRPr="00A81AFE">
        <w:t>in</w:t>
      </w:r>
      <w:r w:rsidRPr="00A81AFE">
        <w:rPr>
          <w:lang w:val="en-IE"/>
        </w:rPr>
        <w:t xml:space="preserve"> the scope of the derogation </w:t>
      </w:r>
      <w:r w:rsidR="000C6498" w:rsidRPr="00A81AFE">
        <w:rPr>
          <w:lang w:val="en-IE"/>
        </w:rPr>
        <w:t>because</w:t>
      </w:r>
      <w:r w:rsidR="00BC1009" w:rsidRPr="00A81AFE">
        <w:rPr>
          <w:lang w:val="en-IE"/>
        </w:rPr>
        <w:t xml:space="preserve"> </w:t>
      </w:r>
      <w:r w:rsidR="003F5AEF" w:rsidRPr="00A81AFE">
        <w:t>no alternative ammunitions are available</w:t>
      </w:r>
      <w:r w:rsidR="003F5AEF" w:rsidRPr="00A81AFE">
        <w:rPr>
          <w:lang w:val="en-IE"/>
        </w:rPr>
        <w:t xml:space="preserve"> </w:t>
      </w:r>
      <w:r w:rsidRPr="00A81AFE">
        <w:t>for that specific hunting activity.</w:t>
      </w:r>
      <w:r w:rsidRPr="00A81AFE">
        <w:rPr>
          <w:lang w:val="en-IE"/>
        </w:rPr>
        <w:t xml:space="preserve"> </w:t>
      </w:r>
      <w:r w:rsidR="008B344D" w:rsidRPr="00A81AFE">
        <w:rPr>
          <w:lang w:val="en-IE"/>
        </w:rPr>
        <w:t xml:space="preserve">The Commission </w:t>
      </w:r>
      <w:r w:rsidR="00E028C0" w:rsidRPr="00A81AFE">
        <w:rPr>
          <w:lang w:val="en-IE"/>
        </w:rPr>
        <w:t xml:space="preserve">also </w:t>
      </w:r>
      <w:r w:rsidR="008B344D" w:rsidRPr="00A81AFE">
        <w:rPr>
          <w:lang w:val="en-IE"/>
        </w:rPr>
        <w:t xml:space="preserve">considers </w:t>
      </w:r>
      <w:r w:rsidR="004B32F1" w:rsidRPr="00A81AFE">
        <w:rPr>
          <w:lang w:val="en-IE"/>
        </w:rPr>
        <w:t xml:space="preserve">it </w:t>
      </w:r>
      <w:r w:rsidR="00FB38A7" w:rsidRPr="00A81AFE">
        <w:rPr>
          <w:lang w:val="en-IE"/>
        </w:rPr>
        <w:t xml:space="preserve">appropriate to derogate lead </w:t>
      </w:r>
      <w:r w:rsidR="00EB2AAD" w:rsidRPr="00A81AFE">
        <w:rPr>
          <w:lang w:val="en-IE"/>
        </w:rPr>
        <w:t xml:space="preserve">bullets </w:t>
      </w:r>
      <w:r w:rsidR="009637FD" w:rsidRPr="00A81AFE">
        <w:rPr>
          <w:lang w:val="en-IE"/>
        </w:rPr>
        <w:t>discharged</w:t>
      </w:r>
      <w:r w:rsidR="00FB38A7" w:rsidRPr="00A81AFE">
        <w:rPr>
          <w:lang w:val="en-IE"/>
        </w:rPr>
        <w:t xml:space="preserve"> </w:t>
      </w:r>
      <w:r w:rsidR="002B0557" w:rsidRPr="00A81AFE">
        <w:rPr>
          <w:lang w:val="en-IE"/>
        </w:rPr>
        <w:t xml:space="preserve">during </w:t>
      </w:r>
      <w:r w:rsidR="00FB38A7" w:rsidRPr="00A81AFE">
        <w:rPr>
          <w:lang w:val="en-IE"/>
        </w:rPr>
        <w:t>traditional</w:t>
      </w:r>
      <w:r w:rsidR="002B0557" w:rsidRPr="00A81AFE">
        <w:rPr>
          <w:lang w:val="en-IE"/>
        </w:rPr>
        <w:t xml:space="preserve"> rituals</w:t>
      </w:r>
      <w:r w:rsidR="00B7627D" w:rsidRPr="00A81AFE">
        <w:rPr>
          <w:lang w:val="en-IE"/>
        </w:rPr>
        <w:t xml:space="preserve"> and other intangible cultural</w:t>
      </w:r>
      <w:r w:rsidR="00B7627D" w:rsidRPr="00A81AFE">
        <w:t xml:space="preserve"> </w:t>
      </w:r>
      <w:r w:rsidR="00B7627D" w:rsidRPr="00A81AFE">
        <w:rPr>
          <w:lang w:val="en-IE"/>
        </w:rPr>
        <w:t>heritage events (such as marksmen festivals like the ‘Vogelschieβen’)</w:t>
      </w:r>
      <w:r w:rsidR="00715938" w:rsidRPr="00A81AFE">
        <w:rPr>
          <w:lang w:val="en-IE"/>
        </w:rPr>
        <w:t>,</w:t>
      </w:r>
      <w:r w:rsidR="00B7627D" w:rsidRPr="00A81AFE">
        <w:rPr>
          <w:lang w:val="en-IE"/>
        </w:rPr>
        <w:t xml:space="preserve"> and </w:t>
      </w:r>
      <w:r w:rsidR="00715938" w:rsidRPr="00A81AFE">
        <w:rPr>
          <w:lang w:val="en-IE"/>
        </w:rPr>
        <w:t xml:space="preserve">community </w:t>
      </w:r>
      <w:r w:rsidR="00B7627D" w:rsidRPr="00A81AFE">
        <w:rPr>
          <w:lang w:val="en-IE"/>
        </w:rPr>
        <w:t xml:space="preserve">festive events </w:t>
      </w:r>
      <w:r w:rsidR="007F7203" w:rsidRPr="00A81AFE">
        <w:rPr>
          <w:lang w:val="en-IE"/>
        </w:rPr>
        <w:t>(</w:t>
      </w:r>
      <w:r w:rsidR="00B7627D" w:rsidRPr="00A81AFE">
        <w:rPr>
          <w:lang w:val="en-IE"/>
        </w:rPr>
        <w:t>such as funfairs</w:t>
      </w:r>
      <w:r w:rsidR="007F7203" w:rsidRPr="00A81AFE">
        <w:rPr>
          <w:lang w:val="en-IE"/>
        </w:rPr>
        <w:t>)</w:t>
      </w:r>
      <w:r w:rsidR="00B7627D" w:rsidRPr="00A81AFE">
        <w:rPr>
          <w:lang w:val="en-IE"/>
        </w:rPr>
        <w:t>, if they</w:t>
      </w:r>
      <w:r w:rsidR="002B0557" w:rsidRPr="00A81AFE">
        <w:rPr>
          <w:lang w:val="en-IE"/>
        </w:rPr>
        <w:t xml:space="preserve"> </w:t>
      </w:r>
      <w:r w:rsidR="002A2268" w:rsidRPr="00A81AFE">
        <w:rPr>
          <w:lang w:val="en-IE"/>
        </w:rPr>
        <w:t xml:space="preserve">take place within a limited area </w:t>
      </w:r>
      <w:r w:rsidR="000C6498" w:rsidRPr="00A81AFE">
        <w:rPr>
          <w:lang w:val="en-IE"/>
        </w:rPr>
        <w:t xml:space="preserve">in which </w:t>
      </w:r>
      <w:r w:rsidR="002A2268" w:rsidRPr="00A81AFE">
        <w:rPr>
          <w:lang w:val="en-IE"/>
        </w:rPr>
        <w:t>lead recovery is performed.</w:t>
      </w:r>
      <w:r w:rsidR="008B344D" w:rsidRPr="00A81AFE">
        <w:rPr>
          <w:lang w:val="en-IE"/>
        </w:rPr>
        <w:t xml:space="preserve"> </w:t>
      </w:r>
      <w:r w:rsidR="002A2268" w:rsidRPr="00A81AFE">
        <w:rPr>
          <w:lang w:val="en-IE"/>
        </w:rPr>
        <w:t xml:space="preserve">The derogation is justified </w:t>
      </w:r>
      <w:r w:rsidR="008B344D" w:rsidRPr="00A81AFE">
        <w:rPr>
          <w:lang w:val="en-IE"/>
        </w:rPr>
        <w:t>because of the occasional nature</w:t>
      </w:r>
      <w:r w:rsidR="002A2268" w:rsidRPr="00A81AFE">
        <w:rPr>
          <w:lang w:val="en-IE"/>
        </w:rPr>
        <w:t xml:space="preserve"> of </w:t>
      </w:r>
      <w:r w:rsidR="002A2268" w:rsidRPr="00A81AFE">
        <w:t>th</w:t>
      </w:r>
      <w:r w:rsidR="00CE03E5" w:rsidRPr="00A81AFE">
        <w:t>o</w:t>
      </w:r>
      <w:r w:rsidR="002A2268" w:rsidRPr="00A81AFE">
        <w:t>se</w:t>
      </w:r>
      <w:r w:rsidR="002A2268" w:rsidRPr="00A81AFE">
        <w:rPr>
          <w:lang w:val="en-IE"/>
        </w:rPr>
        <w:t xml:space="preserve"> events</w:t>
      </w:r>
      <w:r w:rsidR="008B344D" w:rsidRPr="00A81AFE">
        <w:rPr>
          <w:lang w:val="en-IE"/>
        </w:rPr>
        <w:t>, the</w:t>
      </w:r>
      <w:r w:rsidR="002A2268" w:rsidRPr="00A81AFE">
        <w:rPr>
          <w:lang w:val="en-IE"/>
        </w:rPr>
        <w:t xml:space="preserve"> limited amount of ammunition used, </w:t>
      </w:r>
      <w:r w:rsidR="00EB2AAD" w:rsidRPr="00A81AFE">
        <w:rPr>
          <w:lang w:val="en-IE"/>
        </w:rPr>
        <w:t>the lead</w:t>
      </w:r>
      <w:r w:rsidR="00F76DDB" w:rsidRPr="00A81AFE">
        <w:rPr>
          <w:lang w:val="en-IE"/>
        </w:rPr>
        <w:t>-</w:t>
      </w:r>
      <w:r w:rsidR="00EB2AAD" w:rsidRPr="00A81AFE">
        <w:rPr>
          <w:lang w:val="en-IE"/>
        </w:rPr>
        <w:t xml:space="preserve">recovery measures in place </w:t>
      </w:r>
      <w:r w:rsidR="008B344D" w:rsidRPr="00A81AFE">
        <w:rPr>
          <w:lang w:val="en-IE"/>
        </w:rPr>
        <w:t xml:space="preserve">and </w:t>
      </w:r>
      <w:r w:rsidR="002A2268" w:rsidRPr="00A81AFE">
        <w:rPr>
          <w:lang w:val="en-IE"/>
        </w:rPr>
        <w:t xml:space="preserve">the </w:t>
      </w:r>
      <w:r w:rsidR="008B344D" w:rsidRPr="00A81AFE">
        <w:rPr>
          <w:lang w:val="en-IE"/>
        </w:rPr>
        <w:t xml:space="preserve">need to preserve the </w:t>
      </w:r>
      <w:r w:rsidR="00270ED3" w:rsidRPr="00A81AFE">
        <w:rPr>
          <w:lang w:val="en-IE"/>
        </w:rPr>
        <w:t xml:space="preserve">intangible </w:t>
      </w:r>
      <w:r w:rsidR="008B344D" w:rsidRPr="00A81AFE">
        <w:rPr>
          <w:lang w:val="en-IE"/>
        </w:rPr>
        <w:t>cultural heritage they represent</w:t>
      </w:r>
      <w:r w:rsidR="00FB38A7" w:rsidRPr="00A81AFE">
        <w:rPr>
          <w:lang w:val="en-IE"/>
        </w:rPr>
        <w:t>.</w:t>
      </w:r>
      <w:r w:rsidR="008B344D" w:rsidRPr="00A81AFE">
        <w:rPr>
          <w:lang w:val="en-IE"/>
        </w:rPr>
        <w:t xml:space="preserve"> </w:t>
      </w:r>
    </w:p>
    <w:p w14:paraId="426B17A4" w14:textId="77777777" w:rsidR="00BB3A32" w:rsidRPr="00A81AFE" w:rsidRDefault="003E7308" w:rsidP="00152E26">
      <w:pPr>
        <w:pStyle w:val="Considrant"/>
        <w:rPr>
          <w:lang w:val="en-IE"/>
        </w:rPr>
      </w:pPr>
      <w:r w:rsidRPr="00A81AFE">
        <w:t>T</w:t>
      </w:r>
      <w:r w:rsidR="00BB3A32" w:rsidRPr="00A81AFE">
        <w:rPr>
          <w:lang w:val="en-IE"/>
        </w:rPr>
        <w:t xml:space="preserve">he Commission acknowledges the technical difficulties </w:t>
      </w:r>
      <w:r w:rsidR="004B32F1" w:rsidRPr="00A81AFE">
        <w:rPr>
          <w:lang w:val="en-IE"/>
        </w:rPr>
        <w:t xml:space="preserve">involved in </w:t>
      </w:r>
      <w:r w:rsidR="00BB3A32" w:rsidRPr="00A81AFE">
        <w:rPr>
          <w:lang w:val="en-IE"/>
        </w:rPr>
        <w:t>find</w:t>
      </w:r>
      <w:r w:rsidR="004B32F1" w:rsidRPr="00A81AFE">
        <w:rPr>
          <w:lang w:val="en-IE"/>
        </w:rPr>
        <w:t>ing</w:t>
      </w:r>
      <w:r w:rsidR="00BB3A32" w:rsidRPr="00A81AFE">
        <w:rPr>
          <w:lang w:val="en-IE"/>
        </w:rPr>
        <w:t xml:space="preserve"> alternatives to lead that are </w:t>
      </w:r>
      <w:r w:rsidR="00E169E2" w:rsidRPr="00A81AFE">
        <w:rPr>
          <w:lang w:val="en-IE"/>
        </w:rPr>
        <w:t>both</w:t>
      </w:r>
      <w:r w:rsidR="000C097D" w:rsidRPr="00A81AFE">
        <w:rPr>
          <w:lang w:val="en-IE"/>
        </w:rPr>
        <w:t xml:space="preserve"> </w:t>
      </w:r>
      <w:r w:rsidR="00BB3A32" w:rsidRPr="00A81AFE">
        <w:rPr>
          <w:lang w:val="en-IE"/>
        </w:rPr>
        <w:t xml:space="preserve">sufficiently malleable and heavy </w:t>
      </w:r>
      <w:r w:rsidR="00E169E2" w:rsidRPr="00A81AFE">
        <w:rPr>
          <w:lang w:val="en-IE"/>
        </w:rPr>
        <w:t xml:space="preserve">enough </w:t>
      </w:r>
      <w:r w:rsidR="00BB3A32" w:rsidRPr="00A81AFE">
        <w:rPr>
          <w:lang w:val="en-IE"/>
        </w:rPr>
        <w:t xml:space="preserve">to be used in </w:t>
      </w:r>
      <w:r w:rsidR="00BB3A32" w:rsidRPr="00A81AFE">
        <w:rPr>
          <w:lang w:val="en-IE"/>
        </w:rPr>
        <w:lastRenderedPageBreak/>
        <w:t xml:space="preserve">split shot. It therefore considers that a derogation for the use of lead in split shot </w:t>
      </w:r>
      <w:r w:rsidR="004E11CF" w:rsidRPr="00A81AFE">
        <w:rPr>
          <w:lang w:val="en-IE"/>
        </w:rPr>
        <w:t xml:space="preserve">weighing 0.06 g or less </w:t>
      </w:r>
      <w:r w:rsidR="00BB3A32" w:rsidRPr="00A81AFE">
        <w:rPr>
          <w:lang w:val="en-IE"/>
        </w:rPr>
        <w:t>is justified</w:t>
      </w:r>
      <w:r w:rsidR="004E11CF" w:rsidRPr="00A81AFE">
        <w:rPr>
          <w:lang w:val="en-IE"/>
        </w:rPr>
        <w:t xml:space="preserve"> if the split shot is placed on the market in spill-proof and child-resistant packaging </w:t>
      </w:r>
      <w:r w:rsidR="00E169E2" w:rsidRPr="00A81AFE">
        <w:rPr>
          <w:lang w:val="en-IE"/>
        </w:rPr>
        <w:t xml:space="preserve">in order </w:t>
      </w:r>
      <w:r w:rsidR="004E11CF" w:rsidRPr="00A81AFE">
        <w:rPr>
          <w:lang w:val="en-IE"/>
        </w:rPr>
        <w:t xml:space="preserve">to minimise accidental releases </w:t>
      </w:r>
      <w:r w:rsidR="00E169E2" w:rsidRPr="00A81AFE">
        <w:rPr>
          <w:lang w:val="en-IE"/>
        </w:rPr>
        <w:t>in</w:t>
      </w:r>
      <w:r w:rsidR="004E11CF" w:rsidRPr="00A81AFE">
        <w:rPr>
          <w:lang w:val="en-IE"/>
        </w:rPr>
        <w:t>to the environment</w:t>
      </w:r>
      <w:r w:rsidR="00BB3A32" w:rsidRPr="00A81AFE">
        <w:rPr>
          <w:lang w:val="en-IE"/>
        </w:rPr>
        <w:t>.</w:t>
      </w:r>
    </w:p>
    <w:p w14:paraId="2176D934" w14:textId="77777777" w:rsidR="00152E26" w:rsidRPr="00A81AFE" w:rsidRDefault="00152E26" w:rsidP="00152E26">
      <w:pPr>
        <w:pStyle w:val="Considrant"/>
        <w:rPr>
          <w:lang w:val="en-IE"/>
        </w:rPr>
      </w:pPr>
      <w:r w:rsidRPr="00A81AFE">
        <w:rPr>
          <w:lang w:val="en-IE"/>
        </w:rPr>
        <w:t xml:space="preserve">The Commission concurs with RAC and </w:t>
      </w:r>
      <w:r w:rsidR="00C34BC2" w:rsidRPr="00A81AFE">
        <w:rPr>
          <w:lang w:val="en-IE"/>
        </w:rPr>
        <w:t xml:space="preserve">the Agency </w:t>
      </w:r>
      <w:r w:rsidRPr="00A81AFE">
        <w:rPr>
          <w:lang w:val="en-IE"/>
        </w:rPr>
        <w:t>that a requirement</w:t>
      </w:r>
      <w:r w:rsidR="00771D73" w:rsidRPr="00A81AFE">
        <w:rPr>
          <w:lang w:val="en-IE"/>
        </w:rPr>
        <w:t xml:space="preserve"> for retailers</w:t>
      </w:r>
      <w:r w:rsidRPr="00A81AFE">
        <w:rPr>
          <w:lang w:val="en-IE"/>
        </w:rPr>
        <w:t xml:space="preserve"> to </w:t>
      </w:r>
      <w:r w:rsidR="00771D73" w:rsidRPr="00A81AFE">
        <w:rPr>
          <w:lang w:val="en-IE"/>
        </w:rPr>
        <w:t xml:space="preserve">display </w:t>
      </w:r>
      <w:r w:rsidRPr="00A81AFE">
        <w:rPr>
          <w:lang w:val="en-IE"/>
        </w:rPr>
        <w:t xml:space="preserve">information at </w:t>
      </w:r>
      <w:r w:rsidR="00771D73" w:rsidRPr="00A81AFE">
        <w:rPr>
          <w:lang w:val="en-IE"/>
        </w:rPr>
        <w:t>physical</w:t>
      </w:r>
      <w:r w:rsidR="00B34C8F" w:rsidRPr="00A81AFE">
        <w:rPr>
          <w:lang w:val="en-IE"/>
        </w:rPr>
        <w:t xml:space="preserve"> and online</w:t>
      </w:r>
      <w:r w:rsidR="006B2DCC" w:rsidRPr="00A81AFE">
        <w:rPr>
          <w:lang w:val="en-IE"/>
        </w:rPr>
        <w:t xml:space="preserve"> </w:t>
      </w:r>
      <w:r w:rsidRPr="00A81AFE">
        <w:rPr>
          <w:lang w:val="en-IE"/>
        </w:rPr>
        <w:t>point</w:t>
      </w:r>
      <w:r w:rsidR="00B34C8F" w:rsidRPr="00A81AFE">
        <w:rPr>
          <w:lang w:val="en-IE"/>
        </w:rPr>
        <w:t>s</w:t>
      </w:r>
      <w:r w:rsidRPr="00A81AFE">
        <w:rPr>
          <w:lang w:val="en-IE"/>
        </w:rPr>
        <w:t xml:space="preserve"> of sale</w:t>
      </w:r>
      <w:r w:rsidR="00B34C8F" w:rsidRPr="00A81AFE">
        <w:rPr>
          <w:lang w:val="en-IE"/>
        </w:rPr>
        <w:t>,</w:t>
      </w:r>
      <w:r w:rsidRPr="00A81AFE">
        <w:rPr>
          <w:lang w:val="en-IE"/>
        </w:rPr>
        <w:t xml:space="preserve"> </w:t>
      </w:r>
      <w:r w:rsidR="00B34C8F" w:rsidRPr="00A81AFE">
        <w:rPr>
          <w:lang w:val="en-IE"/>
        </w:rPr>
        <w:t xml:space="preserve">as well as </w:t>
      </w:r>
      <w:r w:rsidRPr="00A81AFE">
        <w:rPr>
          <w:lang w:val="en-IE"/>
        </w:rPr>
        <w:t>on packaging</w:t>
      </w:r>
      <w:r w:rsidR="00B34C8F" w:rsidRPr="00A81AFE">
        <w:rPr>
          <w:lang w:val="en-IE"/>
        </w:rPr>
        <w:t>,</w:t>
      </w:r>
      <w:r w:rsidRPr="00A81AFE">
        <w:rPr>
          <w:lang w:val="en-IE"/>
        </w:rPr>
        <w:t xml:space="preserve"> is justified </w:t>
      </w:r>
      <w:r w:rsidR="004B32F1" w:rsidRPr="00A81AFE">
        <w:rPr>
          <w:lang w:val="en-IE"/>
        </w:rPr>
        <w:t>in order to</w:t>
      </w:r>
      <w:r w:rsidRPr="00A81AFE">
        <w:rPr>
          <w:lang w:val="en-IE"/>
        </w:rPr>
        <w:t xml:space="preserve"> warn users of the risks of using lead ammunition, sinkers and lures. However, the statement to be placed on the packaging should be shorter than the one recommended by the Agency, </w:t>
      </w:r>
      <w:r w:rsidR="00E169E2" w:rsidRPr="00A81AFE">
        <w:rPr>
          <w:lang w:val="en-IE"/>
        </w:rPr>
        <w:t xml:space="preserve">in order </w:t>
      </w:r>
      <w:r w:rsidRPr="00A81AFE">
        <w:rPr>
          <w:lang w:val="en-IE"/>
        </w:rPr>
        <w:t>to allow it</w:t>
      </w:r>
      <w:r w:rsidR="006328BE" w:rsidRPr="00A81AFE">
        <w:rPr>
          <w:lang w:val="en-IE"/>
        </w:rPr>
        <w:t xml:space="preserve"> to be</w:t>
      </w:r>
      <w:r w:rsidRPr="00A81AFE">
        <w:rPr>
          <w:lang w:val="en-IE"/>
        </w:rPr>
        <w:t xml:space="preserve"> plac</w:t>
      </w:r>
      <w:r w:rsidR="006328BE" w:rsidRPr="00A81AFE">
        <w:rPr>
          <w:lang w:val="en-IE"/>
        </w:rPr>
        <w:t>ed</w:t>
      </w:r>
      <w:r w:rsidRPr="00A81AFE">
        <w:rPr>
          <w:lang w:val="en-IE"/>
        </w:rPr>
        <w:t xml:space="preserve"> on small packaging and </w:t>
      </w:r>
      <w:r w:rsidR="00E169E2" w:rsidRPr="00A81AFE">
        <w:rPr>
          <w:szCs w:val="18"/>
          <w:lang w:val="en-IE"/>
        </w:rPr>
        <w:t xml:space="preserve">to </w:t>
      </w:r>
      <w:r w:rsidRPr="00A81AFE">
        <w:rPr>
          <w:lang w:val="en-IE"/>
        </w:rPr>
        <w:t>reduce the need to place it on fold-out labels, a leaflet or a tie-on tag. In addition, a marking indicating the presence of lead should be placed on individual lead bullets and lead shot cartridges</w:t>
      </w:r>
      <w:r w:rsidR="00E169E2" w:rsidRPr="00A81AFE">
        <w:rPr>
          <w:lang w:val="en-IE"/>
        </w:rPr>
        <w:t xml:space="preserve"> in order</w:t>
      </w:r>
      <w:r w:rsidRPr="00A81AFE">
        <w:rPr>
          <w:lang w:val="en-IE"/>
        </w:rPr>
        <w:t xml:space="preserve"> to facilitate their identification </w:t>
      </w:r>
      <w:r w:rsidR="009637FD" w:rsidRPr="00A81AFE">
        <w:rPr>
          <w:lang w:val="en-IE"/>
        </w:rPr>
        <w:t xml:space="preserve">and the </w:t>
      </w:r>
      <w:r w:rsidRPr="00A81AFE">
        <w:rPr>
          <w:lang w:val="en-IE"/>
        </w:rPr>
        <w:t xml:space="preserve">enforcement </w:t>
      </w:r>
      <w:r w:rsidR="009637FD" w:rsidRPr="00A81AFE">
        <w:rPr>
          <w:lang w:val="en-IE"/>
        </w:rPr>
        <w:t>of the restriction</w:t>
      </w:r>
      <w:r w:rsidRPr="00A81AFE">
        <w:rPr>
          <w:lang w:val="en-IE"/>
        </w:rPr>
        <w:t>.</w:t>
      </w:r>
    </w:p>
    <w:p w14:paraId="67776592" w14:textId="77777777" w:rsidR="007F7203" w:rsidRPr="00A81AFE" w:rsidRDefault="00EF6BF9" w:rsidP="007F7203">
      <w:pPr>
        <w:pStyle w:val="Considrant"/>
        <w:rPr>
          <w:lang w:val="en-IE"/>
        </w:rPr>
      </w:pPr>
      <w:r w:rsidRPr="00A81AFE">
        <w:rPr>
          <w:lang w:val="en-IE"/>
        </w:rPr>
        <w:t>Member States should be asked to report the information received from outdoor sports</w:t>
      </w:r>
      <w:r w:rsidR="006328BE" w:rsidRPr="00A81AFE">
        <w:rPr>
          <w:lang w:val="en-IE"/>
        </w:rPr>
        <w:t>-</w:t>
      </w:r>
      <w:r w:rsidRPr="00A81AFE">
        <w:rPr>
          <w:lang w:val="en-IE"/>
        </w:rPr>
        <w:t xml:space="preserve">shooting ranges to the Agency every </w:t>
      </w:r>
      <w:r w:rsidR="00B359F6" w:rsidRPr="00A81AFE">
        <w:t>five</w:t>
      </w:r>
      <w:r w:rsidRPr="00A81AFE">
        <w:rPr>
          <w:lang w:val="en-IE"/>
        </w:rPr>
        <w:t xml:space="preserve"> years, so that the </w:t>
      </w:r>
      <w:r w:rsidR="0052478A" w:rsidRPr="00A81AFE">
        <w:rPr>
          <w:lang w:val="en-IE"/>
        </w:rPr>
        <w:t xml:space="preserve">information on the </w:t>
      </w:r>
      <w:r w:rsidRPr="00A81AFE">
        <w:rPr>
          <w:lang w:val="en-IE"/>
        </w:rPr>
        <w:t>effectiveness of the risk</w:t>
      </w:r>
      <w:r w:rsidR="006328BE" w:rsidRPr="00A81AFE">
        <w:rPr>
          <w:lang w:val="en-IE"/>
        </w:rPr>
        <w:t>-</w:t>
      </w:r>
      <w:r w:rsidRPr="00A81AFE">
        <w:rPr>
          <w:lang w:val="en-IE"/>
        </w:rPr>
        <w:t xml:space="preserve">management measures </w:t>
      </w:r>
      <w:r w:rsidR="0052478A" w:rsidRPr="00A81AFE">
        <w:rPr>
          <w:lang w:val="en-IE"/>
        </w:rPr>
        <w:t>is available to the Commission and the other Member States</w:t>
      </w:r>
      <w:r w:rsidRPr="00A81AFE">
        <w:rPr>
          <w:lang w:val="en-IE"/>
        </w:rPr>
        <w:t>.</w:t>
      </w:r>
      <w:r w:rsidR="00EB2AAD" w:rsidRPr="00A81AFE">
        <w:rPr>
          <w:lang w:val="en-IE"/>
        </w:rPr>
        <w:t xml:space="preserve"> In order to facilitate </w:t>
      </w:r>
      <w:r w:rsidR="006328BE" w:rsidRPr="00A81AFE">
        <w:rPr>
          <w:lang w:val="en-IE"/>
        </w:rPr>
        <w:t>the</w:t>
      </w:r>
      <w:r w:rsidR="00EB2AAD" w:rsidRPr="00A81AFE">
        <w:rPr>
          <w:lang w:val="en-IE"/>
        </w:rPr>
        <w:t xml:space="preserve"> smooth and timely implementation of the restriction, Member States should also rapidly make available</w:t>
      </w:r>
      <w:r w:rsidR="006328BE" w:rsidRPr="00A81AFE">
        <w:rPr>
          <w:lang w:val="en-IE"/>
        </w:rPr>
        <w:t>: (i)</w:t>
      </w:r>
      <w:r w:rsidR="006462D9" w:rsidRPr="00A81AFE">
        <w:rPr>
          <w:lang w:val="en-IE"/>
        </w:rPr>
        <w:t> </w:t>
      </w:r>
      <w:r w:rsidRPr="00A81AFE">
        <w:rPr>
          <w:lang w:val="en-IE"/>
        </w:rPr>
        <w:t xml:space="preserve">the instructions and procedure for </w:t>
      </w:r>
      <w:r w:rsidR="00EB2AAD" w:rsidRPr="00A81AFE">
        <w:rPr>
          <w:lang w:val="en-IE"/>
        </w:rPr>
        <w:t xml:space="preserve">authorising </w:t>
      </w:r>
      <w:r w:rsidR="003E549D" w:rsidRPr="00A81AFE">
        <w:rPr>
          <w:lang w:val="en-IE"/>
        </w:rPr>
        <w:t xml:space="preserve">outdoor </w:t>
      </w:r>
      <w:r w:rsidRPr="00A81AFE">
        <w:rPr>
          <w:lang w:val="en-IE"/>
        </w:rPr>
        <w:t>sports</w:t>
      </w:r>
      <w:r w:rsidR="006328BE" w:rsidRPr="00A81AFE">
        <w:rPr>
          <w:lang w:val="en-IE"/>
        </w:rPr>
        <w:t>-</w:t>
      </w:r>
      <w:r w:rsidRPr="00A81AFE">
        <w:rPr>
          <w:lang w:val="en-IE"/>
        </w:rPr>
        <w:t>shooting ranges</w:t>
      </w:r>
      <w:r w:rsidR="00207941" w:rsidRPr="00A81AFE">
        <w:rPr>
          <w:lang w:val="en-IE"/>
        </w:rPr>
        <w:t xml:space="preserve"> for shooting with gunshot</w:t>
      </w:r>
      <w:r w:rsidR="006328BE" w:rsidRPr="00A81AFE">
        <w:rPr>
          <w:lang w:val="en-IE"/>
        </w:rPr>
        <w:t xml:space="preserve">; </w:t>
      </w:r>
      <w:r w:rsidR="0056601A" w:rsidRPr="00A81AFE">
        <w:t xml:space="preserve">and </w:t>
      </w:r>
      <w:r w:rsidR="006328BE" w:rsidRPr="00A81AFE">
        <w:rPr>
          <w:lang w:val="en-IE"/>
        </w:rPr>
        <w:t>(ii)</w:t>
      </w:r>
      <w:r w:rsidR="006462D9" w:rsidRPr="00A81AFE">
        <w:rPr>
          <w:lang w:val="en-IE"/>
        </w:rPr>
        <w:t> </w:t>
      </w:r>
      <w:r w:rsidR="00C82DC6" w:rsidRPr="00A81AFE">
        <w:rPr>
          <w:lang w:val="en-IE"/>
        </w:rPr>
        <w:t>a list of those authorised outdoor sports</w:t>
      </w:r>
      <w:r w:rsidR="006328BE" w:rsidRPr="00A81AFE">
        <w:rPr>
          <w:lang w:val="en-IE"/>
        </w:rPr>
        <w:t>-</w:t>
      </w:r>
      <w:r w:rsidR="00C82DC6" w:rsidRPr="00A81AFE">
        <w:rPr>
          <w:lang w:val="en-IE"/>
        </w:rPr>
        <w:t>shooting ranges</w:t>
      </w:r>
      <w:r w:rsidR="00D812F1" w:rsidRPr="00A81AFE">
        <w:rPr>
          <w:lang w:val="en-IE"/>
        </w:rPr>
        <w:t>.</w:t>
      </w:r>
    </w:p>
    <w:p w14:paraId="6A808F64" w14:textId="77777777" w:rsidR="003E4E5F" w:rsidRPr="00A81AFE" w:rsidRDefault="00462922" w:rsidP="007F7203">
      <w:pPr>
        <w:pStyle w:val="Considrant"/>
        <w:rPr>
          <w:lang w:val="en-IE"/>
        </w:rPr>
      </w:pPr>
      <w:r w:rsidRPr="00A81AFE">
        <w:rPr>
          <w:lang w:val="en-IE"/>
        </w:rPr>
        <w:t>Some</w:t>
      </w:r>
      <w:r w:rsidR="00DF2E4E" w:rsidRPr="00A81AFE">
        <w:rPr>
          <w:lang w:val="en-IE"/>
        </w:rPr>
        <w:t xml:space="preserve"> Member States have national provisions </w:t>
      </w:r>
      <w:r w:rsidRPr="00A81AFE">
        <w:rPr>
          <w:lang w:val="en-IE"/>
        </w:rPr>
        <w:t xml:space="preserve">in place </w:t>
      </w:r>
      <w:r w:rsidR="00E169E2" w:rsidRPr="00A81AFE">
        <w:rPr>
          <w:lang w:val="en-IE"/>
        </w:rPr>
        <w:t xml:space="preserve">for the protection of the environment or human health that </w:t>
      </w:r>
      <w:r w:rsidR="00DF2E4E" w:rsidRPr="00A81AFE">
        <w:rPr>
          <w:lang w:val="en-IE"/>
        </w:rPr>
        <w:t xml:space="preserve">prohibit or restrict the use of lead in gunshot, bullets, lures, sinkers </w:t>
      </w:r>
      <w:r w:rsidR="00C51C14" w:rsidRPr="00A81AFE">
        <w:rPr>
          <w:lang w:val="en-IE"/>
        </w:rPr>
        <w:t>or</w:t>
      </w:r>
      <w:r w:rsidR="00DF2E4E" w:rsidRPr="00A81AFE">
        <w:rPr>
          <w:lang w:val="en-IE"/>
        </w:rPr>
        <w:t xml:space="preserve"> fishing wires</w:t>
      </w:r>
      <w:r w:rsidR="00E169E2" w:rsidRPr="00A81AFE">
        <w:rPr>
          <w:lang w:val="en-IE"/>
        </w:rPr>
        <w:t>, and</w:t>
      </w:r>
      <w:r w:rsidR="00DF2E4E" w:rsidRPr="00A81AFE">
        <w:rPr>
          <w:lang w:val="en-IE"/>
        </w:rPr>
        <w:t xml:space="preserve"> </w:t>
      </w:r>
      <w:r w:rsidR="00C51C14" w:rsidRPr="00A81AFE">
        <w:rPr>
          <w:lang w:val="en-IE"/>
        </w:rPr>
        <w:t>that are stricter than those</w:t>
      </w:r>
      <w:r w:rsidR="00DF2E4E" w:rsidRPr="00A81AFE">
        <w:rPr>
          <w:lang w:val="en-IE"/>
        </w:rPr>
        <w:t xml:space="preserve"> laid down in this Regulation. </w:t>
      </w:r>
      <w:r w:rsidR="00D812F1" w:rsidRPr="00A81AFE">
        <w:rPr>
          <w:lang w:val="en-IE"/>
        </w:rPr>
        <w:t xml:space="preserve">Requiring </w:t>
      </w:r>
      <w:r w:rsidR="00DF2E4E" w:rsidRPr="00A81AFE">
        <w:rPr>
          <w:lang w:val="en-IE"/>
        </w:rPr>
        <w:t>those Member States to reduce the</w:t>
      </w:r>
      <w:r w:rsidR="00E169E2" w:rsidRPr="00A81AFE">
        <w:rPr>
          <w:lang w:val="en-IE"/>
        </w:rPr>
        <w:t>ir</w:t>
      </w:r>
      <w:r w:rsidR="00DF2E4E" w:rsidRPr="00A81AFE">
        <w:rPr>
          <w:lang w:val="en-IE"/>
        </w:rPr>
        <w:t xml:space="preserve"> existing level of protection in order to comply with this Regulation might lead to </w:t>
      </w:r>
      <w:r w:rsidR="00E169E2" w:rsidRPr="00A81AFE">
        <w:rPr>
          <w:lang w:val="en-IE"/>
        </w:rPr>
        <w:t xml:space="preserve">a </w:t>
      </w:r>
      <w:r w:rsidR="00C51C14" w:rsidRPr="00A81AFE">
        <w:rPr>
          <w:lang w:val="en-IE"/>
        </w:rPr>
        <w:t>greater</w:t>
      </w:r>
      <w:r w:rsidR="00DF2E4E" w:rsidRPr="00A81AFE">
        <w:rPr>
          <w:lang w:val="en-IE"/>
        </w:rPr>
        <w:t xml:space="preserve"> use of lead in those Member States. Such a result would not be compatible with the high level of protection required by Article</w:t>
      </w:r>
      <w:r w:rsidR="004A769C" w:rsidRPr="00A81AFE">
        <w:rPr>
          <w:lang w:val="en-IE"/>
        </w:rPr>
        <w:t> </w:t>
      </w:r>
      <w:r w:rsidR="00DF2E4E" w:rsidRPr="00A81AFE">
        <w:rPr>
          <w:lang w:val="en-IE"/>
        </w:rPr>
        <w:t xml:space="preserve">114(3) of the Treaty. Member States should therefore </w:t>
      </w:r>
      <w:bookmarkStart w:id="5" w:name="_Hlk190949374"/>
      <w:r w:rsidR="00DF2E4E" w:rsidRPr="00A81AFE">
        <w:rPr>
          <w:lang w:val="en-IE"/>
        </w:rPr>
        <w:t>be allowed to maintain</w:t>
      </w:r>
      <w:r w:rsidR="00D760ED" w:rsidRPr="00A81AFE">
        <w:rPr>
          <w:lang w:val="en-IE"/>
        </w:rPr>
        <w:t xml:space="preserve"> </w:t>
      </w:r>
      <w:r w:rsidR="00DF2E4E" w:rsidRPr="00A81AFE">
        <w:rPr>
          <w:lang w:val="en-IE"/>
        </w:rPr>
        <w:t>stricter provisions</w:t>
      </w:r>
      <w:r w:rsidR="00930502" w:rsidRPr="00A81AFE">
        <w:rPr>
          <w:lang w:val="en-IE"/>
        </w:rPr>
        <w:t>.</w:t>
      </w:r>
      <w:bookmarkEnd w:id="4"/>
    </w:p>
    <w:p w14:paraId="6109EB1C" w14:textId="77777777" w:rsidR="0042401F" w:rsidRPr="00A81AFE" w:rsidRDefault="004661AA" w:rsidP="006D2245">
      <w:pPr>
        <w:pStyle w:val="Considrant"/>
        <w:rPr>
          <w:lang w:val="en-IE"/>
        </w:rPr>
      </w:pPr>
      <w:r w:rsidRPr="00A81AFE">
        <w:t>In light of the broader provisions on lead in gunshot introduced by this Regulation and in order to give manufacturers and users sufficient time to transition to alternative forms of ammunition</w:t>
      </w:r>
      <w:r w:rsidR="0042401F" w:rsidRPr="00A81AFE">
        <w:rPr>
          <w:lang w:val="en-IE"/>
        </w:rPr>
        <w:t xml:space="preserve">, paragraphs 11 to 14 of entry 63 of </w:t>
      </w:r>
      <w:r w:rsidR="0042401F" w:rsidRPr="00A81AFE">
        <w:t>Annex XVII to Regulation (EC) No 1907/2006</w:t>
      </w:r>
      <w:r w:rsidR="0042401F" w:rsidRPr="00A81AFE">
        <w:rPr>
          <w:lang w:val="en-IE"/>
        </w:rPr>
        <w:t xml:space="preserve"> should apply until </w:t>
      </w:r>
      <w:r w:rsidR="0042401F" w:rsidRPr="00A81AFE">
        <w:rPr>
          <w:rFonts w:eastAsia="Times New Roman"/>
          <w:szCs w:val="24"/>
        </w:rPr>
        <w:t>[</w:t>
      </w:r>
      <w:r w:rsidR="0042401F" w:rsidRPr="00A81AFE">
        <w:rPr>
          <w:rFonts w:eastAsia="Times New Roman"/>
          <w:i/>
          <w:iCs/>
          <w:szCs w:val="24"/>
        </w:rPr>
        <w:t>Publications Office: insert date of three years after entry into force].</w:t>
      </w:r>
      <w:r w:rsidR="0042401F" w:rsidRPr="00A81AFE">
        <w:rPr>
          <w:lang w:val="en-IE"/>
        </w:rPr>
        <w:t xml:space="preserve"> </w:t>
      </w:r>
    </w:p>
    <w:p w14:paraId="548D6DB5" w14:textId="77777777" w:rsidR="00536944" w:rsidRPr="00A81AFE" w:rsidRDefault="00536944" w:rsidP="00FD24FC">
      <w:pPr>
        <w:pStyle w:val="Considrant"/>
        <w:rPr>
          <w:lang w:val="en-IE"/>
        </w:rPr>
      </w:pPr>
      <w:r w:rsidRPr="00A81AFE">
        <w:rPr>
          <w:lang w:val="en-IE"/>
        </w:rPr>
        <w:t>Regulation (EC) No</w:t>
      </w:r>
      <w:r w:rsidR="006462D9" w:rsidRPr="00A81AFE">
        <w:rPr>
          <w:lang w:val="en-IE"/>
        </w:rPr>
        <w:t> </w:t>
      </w:r>
      <w:r w:rsidRPr="00A81AFE">
        <w:rPr>
          <w:lang w:val="en-IE"/>
        </w:rPr>
        <w:t>1907/2006 should therefore be amended accord</w:t>
      </w:r>
      <w:bookmarkEnd w:id="5"/>
      <w:r w:rsidRPr="00A81AFE">
        <w:rPr>
          <w:lang w:val="en-IE"/>
        </w:rPr>
        <w:t>ingly.</w:t>
      </w:r>
    </w:p>
    <w:p w14:paraId="50B69F1B" w14:textId="77777777" w:rsidR="00A1460C" w:rsidRPr="00A81AFE" w:rsidRDefault="00A1460C" w:rsidP="00A1460C">
      <w:pPr>
        <w:pStyle w:val="Considrant"/>
        <w:rPr>
          <w:lang w:val="en-IE"/>
        </w:rPr>
      </w:pPr>
      <w:r w:rsidRPr="00A81AFE">
        <w:rPr>
          <w:lang w:val="en-IE"/>
        </w:rPr>
        <w:t>The measures provided for in this Regulation are in accordance with the opinion of the</w:t>
      </w:r>
      <w:r w:rsidR="00536944" w:rsidRPr="00A81AFE">
        <w:rPr>
          <w:lang w:val="en-IE"/>
        </w:rPr>
        <w:t xml:space="preserve"> </w:t>
      </w:r>
      <w:r w:rsidRPr="00A81AFE">
        <w:rPr>
          <w:lang w:val="en-IE"/>
        </w:rPr>
        <w:t>Committee</w:t>
      </w:r>
      <w:r w:rsidR="00536944" w:rsidRPr="00A81AFE">
        <w:rPr>
          <w:lang w:val="en-IE"/>
        </w:rPr>
        <w:t xml:space="preserve"> </w:t>
      </w:r>
      <w:r w:rsidR="00A91D17" w:rsidRPr="00A81AFE">
        <w:rPr>
          <w:lang w:val="en-IE"/>
        </w:rPr>
        <w:t>set up under</w:t>
      </w:r>
      <w:r w:rsidR="00536944" w:rsidRPr="00A81AFE">
        <w:rPr>
          <w:lang w:val="en-IE"/>
        </w:rPr>
        <w:t xml:space="preserve"> Article</w:t>
      </w:r>
      <w:r w:rsidR="004A769C" w:rsidRPr="00A81AFE">
        <w:rPr>
          <w:lang w:val="en-IE"/>
        </w:rPr>
        <w:t> </w:t>
      </w:r>
      <w:r w:rsidR="00536944" w:rsidRPr="00A81AFE">
        <w:rPr>
          <w:lang w:val="en-IE"/>
        </w:rPr>
        <w:t>133 of Regulation (EC) No</w:t>
      </w:r>
      <w:r w:rsidR="006462D9" w:rsidRPr="00A81AFE">
        <w:rPr>
          <w:lang w:val="en-IE"/>
        </w:rPr>
        <w:t> </w:t>
      </w:r>
      <w:r w:rsidR="00536944" w:rsidRPr="00A81AFE">
        <w:rPr>
          <w:lang w:val="en-IE"/>
        </w:rPr>
        <w:t>1907/2006</w:t>
      </w:r>
      <w:r w:rsidRPr="00A81AFE">
        <w:rPr>
          <w:lang w:val="en-IE"/>
        </w:rPr>
        <w:t>,</w:t>
      </w:r>
    </w:p>
    <w:p w14:paraId="0902AD4C" w14:textId="77777777" w:rsidR="00A1460C" w:rsidRPr="00A81AFE" w:rsidRDefault="00A1460C" w:rsidP="00200FE9">
      <w:pPr>
        <w:pStyle w:val="Formuledadoption"/>
        <w:rPr>
          <w:lang w:val="en-IE"/>
        </w:rPr>
      </w:pPr>
      <w:r w:rsidRPr="00A81AFE">
        <w:rPr>
          <w:lang w:val="en-IE"/>
        </w:rPr>
        <w:t>HAS ADOPTED THIS REGULATION:</w:t>
      </w:r>
    </w:p>
    <w:p w14:paraId="46BEF1F5" w14:textId="77777777" w:rsidR="00A1460C" w:rsidRPr="00A81AFE" w:rsidRDefault="00A1460C" w:rsidP="00200FE9">
      <w:pPr>
        <w:pStyle w:val="Titrearticle"/>
        <w:rPr>
          <w:lang w:val="en-IE"/>
        </w:rPr>
      </w:pPr>
      <w:r w:rsidRPr="00A81AFE">
        <w:rPr>
          <w:lang w:val="en-IE"/>
        </w:rPr>
        <w:t>Article 1</w:t>
      </w:r>
    </w:p>
    <w:p w14:paraId="26552A6F" w14:textId="77777777" w:rsidR="00A1460C" w:rsidRPr="00A81AFE" w:rsidRDefault="00BA0DD0" w:rsidP="00200FE9">
      <w:pPr>
        <w:rPr>
          <w:lang w:val="en-IE"/>
        </w:rPr>
      </w:pPr>
      <w:r w:rsidRPr="00A81AFE">
        <w:rPr>
          <w:lang w:val="en-IE"/>
        </w:rPr>
        <w:t>Annex</w:t>
      </w:r>
      <w:r w:rsidR="004A769C" w:rsidRPr="00A81AFE">
        <w:rPr>
          <w:lang w:val="en-IE"/>
        </w:rPr>
        <w:t> </w:t>
      </w:r>
      <w:r w:rsidRPr="00A81AFE">
        <w:rPr>
          <w:lang w:val="en-IE"/>
        </w:rPr>
        <w:t>XVII to Regulation (EC) No</w:t>
      </w:r>
      <w:r w:rsidR="004A769C" w:rsidRPr="00A81AFE">
        <w:rPr>
          <w:lang w:val="en-IE"/>
        </w:rPr>
        <w:t> </w:t>
      </w:r>
      <w:r w:rsidRPr="00A81AFE">
        <w:rPr>
          <w:lang w:val="en-IE"/>
        </w:rPr>
        <w:t>1907/2006 is amended in accordance with the Annex to this Regulation.</w:t>
      </w:r>
    </w:p>
    <w:p w14:paraId="2C49A36A" w14:textId="77777777" w:rsidR="00A1460C" w:rsidRPr="00A81AFE" w:rsidRDefault="00A1460C" w:rsidP="00200FE9">
      <w:pPr>
        <w:pStyle w:val="Titrearticle"/>
        <w:rPr>
          <w:lang w:val="en-IE"/>
        </w:rPr>
      </w:pPr>
      <w:r w:rsidRPr="00A81AFE">
        <w:rPr>
          <w:lang w:val="en-IE"/>
        </w:rPr>
        <w:t>Article</w:t>
      </w:r>
      <w:r w:rsidR="00BA0DD0" w:rsidRPr="00A81AFE">
        <w:rPr>
          <w:lang w:val="en-IE"/>
        </w:rPr>
        <w:t xml:space="preserve"> 2</w:t>
      </w:r>
    </w:p>
    <w:p w14:paraId="200EF11A" w14:textId="77777777" w:rsidR="005D39E8" w:rsidRPr="00A81AFE" w:rsidRDefault="00A1460C" w:rsidP="007F7203">
      <w:r w:rsidRPr="00A81AFE">
        <w:rPr>
          <w:lang w:val="en-IE"/>
        </w:rPr>
        <w:t>This Regulation shall enter into force on the</w:t>
      </w:r>
      <w:r w:rsidR="00BA0DD0" w:rsidRPr="00A81AFE">
        <w:rPr>
          <w:lang w:val="en-IE"/>
        </w:rPr>
        <w:t xml:space="preserve"> twentieth</w:t>
      </w:r>
      <w:r w:rsidRPr="00A81AFE">
        <w:rPr>
          <w:lang w:val="en-IE"/>
        </w:rPr>
        <w:t xml:space="preserve"> day following that of its publication in the </w:t>
      </w:r>
      <w:r w:rsidRPr="00A81AFE">
        <w:rPr>
          <w:i/>
          <w:lang w:val="en-IE"/>
        </w:rPr>
        <w:t>Official Journal of the European Union</w:t>
      </w:r>
      <w:r w:rsidRPr="00A81AFE">
        <w:rPr>
          <w:lang w:val="en-IE"/>
        </w:rPr>
        <w:t>.</w:t>
      </w:r>
    </w:p>
    <w:p w14:paraId="784432E1" w14:textId="77777777" w:rsidR="00A1460C" w:rsidRPr="00A81AFE" w:rsidRDefault="00A1460C" w:rsidP="00200FE9">
      <w:pPr>
        <w:pStyle w:val="Applicationdirecte"/>
        <w:rPr>
          <w:lang w:val="en-IE"/>
        </w:rPr>
      </w:pPr>
      <w:r w:rsidRPr="00A81AFE">
        <w:rPr>
          <w:lang w:val="en-IE"/>
        </w:rPr>
        <w:lastRenderedPageBreak/>
        <w:t>This Regulation shall be binding in its entirety and directly applicable in all Member States.</w:t>
      </w:r>
    </w:p>
    <w:p w14:paraId="6B60EA08" w14:textId="1F3A810F" w:rsidR="00A1460C" w:rsidRPr="00A81AFE" w:rsidRDefault="00E24101" w:rsidP="00E24101">
      <w:pPr>
        <w:pStyle w:val="Fait"/>
        <w:rPr>
          <w:lang w:val="en-IE"/>
        </w:rPr>
      </w:pPr>
      <w:r w:rsidRPr="00E24101">
        <w:t>Done at Brussels,</w:t>
      </w:r>
    </w:p>
    <w:p w14:paraId="7FFF1E54" w14:textId="77777777" w:rsidR="00A1460C" w:rsidRPr="00A81AFE" w:rsidRDefault="00A1460C" w:rsidP="00A1460C">
      <w:pPr>
        <w:pStyle w:val="Institutionquisigne"/>
        <w:rPr>
          <w:lang w:val="en-IE"/>
        </w:rPr>
      </w:pPr>
      <w:r w:rsidRPr="00A81AFE">
        <w:rPr>
          <w:lang w:val="en-IE"/>
        </w:rPr>
        <w:tab/>
        <w:t>For the Commission</w:t>
      </w:r>
    </w:p>
    <w:p w14:paraId="793B6C3B" w14:textId="77777777" w:rsidR="00A1460C" w:rsidRPr="007F7203" w:rsidRDefault="00A1460C" w:rsidP="00A1460C">
      <w:pPr>
        <w:pStyle w:val="Personnequisigne"/>
        <w:rPr>
          <w:lang w:val="en-IE"/>
        </w:rPr>
      </w:pPr>
      <w:r w:rsidRPr="00A81AFE">
        <w:rPr>
          <w:lang w:val="en-IE"/>
        </w:rPr>
        <w:tab/>
        <w:t>The President</w:t>
      </w:r>
      <w:r w:rsidRPr="00A81AFE">
        <w:rPr>
          <w:lang w:val="en-IE"/>
        </w:rPr>
        <w:br/>
      </w:r>
      <w:r w:rsidRPr="00A81AFE">
        <w:rPr>
          <w:lang w:val="en-IE"/>
        </w:rPr>
        <w:tab/>
      </w:r>
      <w:r w:rsidR="00BA0DD0" w:rsidRPr="00A81AFE">
        <w:rPr>
          <w:lang w:val="en-IE"/>
        </w:rPr>
        <w:t>Ursula VON DER LEYEN</w:t>
      </w:r>
    </w:p>
    <w:sectPr w:rsidR="00A1460C" w:rsidRPr="007F7203" w:rsidSect="007F38C7">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142BC" w14:textId="77777777" w:rsidR="00FD28C9" w:rsidRDefault="00FD28C9" w:rsidP="00A1460C">
      <w:pPr>
        <w:spacing w:before="0" w:after="0"/>
      </w:pPr>
      <w:r>
        <w:separator/>
      </w:r>
    </w:p>
  </w:endnote>
  <w:endnote w:type="continuationSeparator" w:id="0">
    <w:p w14:paraId="674BBD64" w14:textId="77777777" w:rsidR="00FD28C9" w:rsidRDefault="00FD28C9" w:rsidP="00A1460C">
      <w:pPr>
        <w:spacing w:before="0" w:after="0"/>
      </w:pPr>
      <w:r>
        <w:continuationSeparator/>
      </w:r>
    </w:p>
  </w:endnote>
  <w:endnote w:type="continuationNotice" w:id="1">
    <w:p w14:paraId="20168DB9" w14:textId="77777777" w:rsidR="00FD28C9" w:rsidRDefault="00FD28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37941" w14:textId="3B79CE5A" w:rsidR="00E24101" w:rsidRPr="007F38C7" w:rsidRDefault="007F38C7" w:rsidP="007F38C7">
    <w:pPr>
      <w:pStyle w:val="Jalus"/>
      <w:rPr>
        <w:rFonts w:ascii="Arial" w:hAnsi="Arial" w:cs="Arial"/>
        <w:b/>
        <w:sz w:val="48"/>
      </w:rPr>
    </w:pPr>
    <w:r w:rsidRPr="007F38C7">
      <w:rPr>
        <w:rFonts w:ascii="Arial" w:hAnsi="Arial" w:cs="Arial"/>
        <w:b/>
        <w:sz w:val="48"/>
      </w:rPr>
      <w:t>EN</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2EDB" w14:textId="3387629D" w:rsidR="00E24101" w:rsidRPr="007F38C7" w:rsidRDefault="007F38C7" w:rsidP="007F38C7">
    <w:pPr>
      <w:pStyle w:val="Jalus"/>
      <w:rPr>
        <w:rFonts w:ascii="Arial" w:hAnsi="Arial" w:cs="Arial"/>
        <w:b/>
        <w:sz w:val="48"/>
      </w:rPr>
    </w:pPr>
    <w:r w:rsidRPr="007F38C7">
      <w:rPr>
        <w:rFonts w:ascii="Arial" w:hAnsi="Arial" w:cs="Arial"/>
        <w:b/>
        <w:sz w:val="48"/>
      </w:rPr>
      <w:t>EN</w:t>
    </w:r>
    <w:r w:rsidRPr="007F38C7">
      <w:rPr>
        <w:rFonts w:ascii="Arial" w:hAnsi="Arial" w:cs="Arial"/>
        <w:b/>
        <w:sz w:val="48"/>
      </w:rPr>
      <w:tab/>
    </w:r>
    <w:r w:rsidRPr="007F38C7">
      <w:rPr>
        <w:rFonts w:ascii="Arial" w:hAnsi="Arial" w:cs="Arial"/>
        <w:b/>
        <w:sz w:val="48"/>
      </w:rPr>
      <w:tab/>
    </w:r>
    <w:r w:rsidRPr="007F38C7">
      <w:tab/>
    </w:r>
    <w:r w:rsidRPr="007F38C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CEE4" w14:textId="77777777" w:rsidR="007F38C7" w:rsidRPr="007F38C7" w:rsidRDefault="007F38C7" w:rsidP="007F38C7">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A110" w14:textId="77777777" w:rsidR="00AC6009" w:rsidRPr="00DF569E" w:rsidRDefault="00AC6009" w:rsidP="00DF569E">
    <w:pPr>
      <w:pStyle w:val="Jalus"/>
      <w:rPr>
        <w:rFonts w:ascii="Arial" w:hAnsi="Arial" w:cs="Arial"/>
        <w:b/>
        <w:sz w:val="48"/>
      </w:rPr>
    </w:pPr>
    <w:r w:rsidRPr="00DF569E">
      <w:rPr>
        <w:rFonts w:ascii="Arial" w:hAnsi="Arial" w:cs="Arial"/>
        <w:b/>
        <w:sz w:val="48"/>
      </w:rPr>
      <w:t>EN</w:t>
    </w:r>
    <w:r w:rsidRPr="00DF569E">
      <w:rPr>
        <w:rFonts w:ascii="Arial" w:hAnsi="Arial" w:cs="Arial"/>
        <w:b/>
        <w:sz w:val="48"/>
      </w:rPr>
      <w:tab/>
    </w:r>
    <w:r w:rsidRPr="00DF569E">
      <w:rPr>
        <w:rFonts w:ascii="Arial" w:hAnsi="Arial" w:cs="Arial"/>
        <w:b/>
        <w:sz w:val="48"/>
      </w:rPr>
      <w:tab/>
    </w:r>
    <w:r w:rsidRPr="00DF569E">
      <w:tab/>
    </w:r>
    <w:r w:rsidRPr="00DF569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84559" w14:textId="55D8C5D9" w:rsidR="007F38C7" w:rsidRPr="007F38C7" w:rsidRDefault="007F38C7" w:rsidP="007F38C7">
    <w:pPr>
      <w:pStyle w:val="Jalus"/>
      <w:rPr>
        <w:rFonts w:ascii="Arial" w:hAnsi="Arial" w:cs="Arial"/>
        <w:b/>
        <w:sz w:val="48"/>
      </w:rPr>
    </w:pPr>
    <w:r w:rsidRPr="007F38C7">
      <w:rPr>
        <w:rFonts w:ascii="Arial" w:hAnsi="Arial" w:cs="Arial"/>
        <w:b/>
        <w:sz w:val="48"/>
      </w:rPr>
      <w:t>EN</w:t>
    </w:r>
    <w:r w:rsidRPr="007F38C7">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F38C7">
      <w:tab/>
    </w:r>
    <w:r w:rsidRPr="007F38C7">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DC81" w14:textId="77777777" w:rsidR="00771D73" w:rsidRPr="00771D73" w:rsidRDefault="00771D73" w:rsidP="007F38C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CCE9" w14:textId="77777777" w:rsidR="00FD28C9" w:rsidRDefault="00FD28C9" w:rsidP="00A1460C">
      <w:pPr>
        <w:spacing w:before="0" w:after="0"/>
      </w:pPr>
      <w:r>
        <w:separator/>
      </w:r>
    </w:p>
  </w:footnote>
  <w:footnote w:type="continuationSeparator" w:id="0">
    <w:p w14:paraId="67DD3CF2" w14:textId="77777777" w:rsidR="00FD28C9" w:rsidRDefault="00FD28C9" w:rsidP="00A1460C">
      <w:pPr>
        <w:spacing w:before="0" w:after="0"/>
      </w:pPr>
      <w:r>
        <w:continuationSeparator/>
      </w:r>
    </w:p>
  </w:footnote>
  <w:footnote w:type="continuationNotice" w:id="1">
    <w:p w14:paraId="6DFBAF83" w14:textId="77777777" w:rsidR="00FD28C9" w:rsidRDefault="00FD28C9">
      <w:pPr>
        <w:spacing w:before="0" w:after="0"/>
      </w:pPr>
    </w:p>
  </w:footnote>
  <w:footnote w:id="2">
    <w:p w14:paraId="1F658432" w14:textId="14C2CC4A" w:rsidR="0062082D" w:rsidRPr="00E4340E" w:rsidRDefault="0062082D" w:rsidP="003A22A9">
      <w:pPr>
        <w:pStyle w:val="Allmrkusetekst"/>
        <w:ind w:left="0" w:firstLine="0"/>
        <w:rPr>
          <w:lang w:val="en-IE"/>
        </w:rPr>
      </w:pPr>
      <w:r w:rsidRPr="003340CB">
        <w:rPr>
          <w:rStyle w:val="Allmrkuseviide"/>
        </w:rPr>
        <w:footnoteRef/>
      </w:r>
      <w:r w:rsidR="003340CB">
        <w:rPr>
          <w:lang w:val="en-IE"/>
        </w:rPr>
        <w:tab/>
      </w:r>
      <w:r w:rsidRPr="00E4340E">
        <w:rPr>
          <w:lang w:val="en-IE"/>
        </w:rPr>
        <w:t>OJ</w:t>
      </w:r>
      <w:r w:rsidR="006462D9" w:rsidRPr="00E4340E">
        <w:rPr>
          <w:lang w:val="en-IE"/>
        </w:rPr>
        <w:t> </w:t>
      </w:r>
      <w:r w:rsidRPr="00E4340E">
        <w:rPr>
          <w:lang w:val="en-IE"/>
        </w:rPr>
        <w:t>L</w:t>
      </w:r>
      <w:r w:rsidR="006462D9" w:rsidRPr="00E4340E">
        <w:rPr>
          <w:lang w:val="en-IE"/>
        </w:rPr>
        <w:t> </w:t>
      </w:r>
      <w:r w:rsidRPr="00E4340E">
        <w:rPr>
          <w:lang w:val="en-IE"/>
        </w:rPr>
        <w:t>396, 30.12.2006, p.</w:t>
      </w:r>
      <w:r w:rsidR="006462D9" w:rsidRPr="00E4340E">
        <w:rPr>
          <w:lang w:val="en-IE"/>
        </w:rPr>
        <w:t> </w:t>
      </w:r>
      <w:r w:rsidRPr="00E4340E">
        <w:rPr>
          <w:lang w:val="en-IE"/>
        </w:rPr>
        <w:t>1.</w:t>
      </w:r>
    </w:p>
  </w:footnote>
  <w:footnote w:id="3">
    <w:p w14:paraId="148D2D49" w14:textId="162CF7B4" w:rsidR="0062082D" w:rsidRPr="00E4340E" w:rsidRDefault="0062082D" w:rsidP="00D96618">
      <w:pPr>
        <w:pStyle w:val="Allmrkusetekst"/>
        <w:ind w:left="0" w:firstLine="0"/>
      </w:pPr>
      <w:r w:rsidRPr="003340CB">
        <w:rPr>
          <w:rStyle w:val="Allmrkuseviide"/>
        </w:rPr>
        <w:footnoteRef/>
      </w:r>
      <w:r w:rsidR="003340CB">
        <w:rPr>
          <w:lang w:val="en-IE"/>
        </w:rPr>
        <w:tab/>
      </w:r>
      <w:r w:rsidRPr="00E4340E">
        <w:t>Commission Regulation (EU) 2021/57 of 25</w:t>
      </w:r>
      <w:r w:rsidR="009912E2" w:rsidRPr="00E4340E">
        <w:t> </w:t>
      </w:r>
      <w:r w:rsidRPr="00E4340E">
        <w:t>January</w:t>
      </w:r>
      <w:r w:rsidR="009912E2" w:rsidRPr="00E4340E">
        <w:t> </w:t>
      </w:r>
      <w:r w:rsidRPr="00E4340E">
        <w:t>2021 amending Annex</w:t>
      </w:r>
      <w:r w:rsidR="004A769C" w:rsidRPr="00E4340E">
        <w:t> </w:t>
      </w:r>
      <w:r w:rsidRPr="00E4340E">
        <w:t>XVII to Regulation (EC) No</w:t>
      </w:r>
      <w:r w:rsidR="006462D9" w:rsidRPr="00E4340E">
        <w:t> </w:t>
      </w:r>
      <w:r w:rsidRPr="00E4340E">
        <w:t>1907/2006 of the European Parliament and of the Council concerning the Registration, Evaluation, Authorisation and Restriction of Chemicals (REACH) as regards lead in gunshot in or around wetlands (OJ</w:t>
      </w:r>
      <w:r w:rsidR="006462D9" w:rsidRPr="00E4340E">
        <w:t> </w:t>
      </w:r>
      <w:r w:rsidRPr="00E4340E">
        <w:t>L</w:t>
      </w:r>
      <w:r w:rsidR="006462D9" w:rsidRPr="00E4340E">
        <w:t> </w:t>
      </w:r>
      <w:r w:rsidRPr="00E4340E">
        <w:t>24, 26.1.2021, p.</w:t>
      </w:r>
      <w:r w:rsidR="006462D9" w:rsidRPr="00E4340E">
        <w:t> </w:t>
      </w:r>
      <w:r w:rsidRPr="00E4340E">
        <w:t>19</w:t>
      </w:r>
      <w:r w:rsidR="003C2317" w:rsidRPr="00E4340E">
        <w:rPr>
          <w:lang w:val="en-IE"/>
        </w:rPr>
        <w:t xml:space="preserve"> ELI: </w:t>
      </w:r>
      <w:hyperlink r:id="rId1" w:history="1">
        <w:r w:rsidR="00CB1DCE" w:rsidRPr="00E4340E">
          <w:rPr>
            <w:rStyle w:val="Hperlink"/>
            <w:lang w:val="en-IE"/>
          </w:rPr>
          <w:t>http://data.europa.eu/eli/reg/2021/57/oj</w:t>
        </w:r>
      </w:hyperlink>
      <w:r w:rsidR="00EF42F9" w:rsidRPr="00E4340E">
        <w:t>).</w:t>
      </w:r>
    </w:p>
  </w:footnote>
  <w:footnote w:id="4">
    <w:p w14:paraId="070F0910" w14:textId="36E3C0BE" w:rsidR="00D96618" w:rsidRPr="007F7203" w:rsidRDefault="00D96618" w:rsidP="00D96618">
      <w:pPr>
        <w:pStyle w:val="Allmrkusetekst"/>
        <w:ind w:left="0" w:firstLine="0"/>
        <w:rPr>
          <w:lang w:val="sv-SE"/>
        </w:rPr>
      </w:pPr>
      <w:r w:rsidRPr="003340CB">
        <w:rPr>
          <w:rStyle w:val="Allmrkuseviide"/>
        </w:rPr>
        <w:footnoteRef/>
      </w:r>
      <w:r w:rsidR="003340CB">
        <w:tab/>
      </w:r>
      <w:r w:rsidRPr="00E4340E">
        <w:t xml:space="preserve">Regulation (EC) No 1272/2008 of the European Parliament and of the Council of 16 December 2008 on classification, labelling and packaging of substances and mixtures, amending and repealing Directives 67/548/EEC and 1999/45/EC, and amending Regulation (EC) No 1907/2006. </w:t>
      </w:r>
      <w:r w:rsidRPr="00E4340E">
        <w:rPr>
          <w:lang w:val="da-DK"/>
        </w:rPr>
        <w:t xml:space="preserve">OJ L 353 31.12.2008, p. 1. </w:t>
      </w:r>
      <w:r w:rsidRPr="00E4340E">
        <w:rPr>
          <w:lang w:val="sv-SE"/>
        </w:rPr>
        <w:t>ELI: </w:t>
      </w:r>
      <w:hyperlink r:id="rId2" w:tooltip="Gives access to this document through its ELI URI." w:history="1">
        <w:r w:rsidRPr="00E4340E">
          <w:rPr>
            <w:rStyle w:val="Hperlink"/>
            <w:lang w:val="sv-SE"/>
          </w:rPr>
          <w:t>http://data.europa.eu/eli/reg/2008/1272/oj</w:t>
        </w:r>
      </w:hyperlink>
    </w:p>
  </w:footnote>
  <w:footnote w:id="5">
    <w:p w14:paraId="66DB5F7C" w14:textId="2B398051" w:rsidR="00D96618" w:rsidRPr="00E4340E" w:rsidRDefault="00D96618" w:rsidP="00D96618">
      <w:pPr>
        <w:pStyle w:val="Allmrkusetekst"/>
        <w:ind w:left="0" w:firstLine="0"/>
      </w:pPr>
      <w:r w:rsidRPr="003340CB">
        <w:rPr>
          <w:rStyle w:val="Allmrkuseviide"/>
        </w:rPr>
        <w:footnoteRef/>
      </w:r>
      <w:r w:rsidR="003340CB">
        <w:tab/>
      </w:r>
      <w:r>
        <w:rPr>
          <w:lang w:val="en-IE"/>
        </w:rPr>
        <w:t xml:space="preserve">The </w:t>
      </w:r>
      <w:r>
        <w:t xml:space="preserve">Committee for Risk Assessment (RAC) and the Committee for Socio-economic Analysis (SEAC), </w:t>
      </w:r>
      <w:r w:rsidRPr="00D96618">
        <w:rPr>
          <w:i/>
        </w:rPr>
        <w:t>Background document to the Opinion on the Annex</w:t>
      </w:r>
      <w:r>
        <w:rPr>
          <w:i/>
          <w:iCs/>
        </w:rPr>
        <w:t xml:space="preserve"> </w:t>
      </w:r>
      <w:r w:rsidRPr="00D96618">
        <w:rPr>
          <w:i/>
        </w:rPr>
        <w:t>XV dossier proposing restrictions on Lead in shot</w:t>
      </w:r>
      <w:r>
        <w:t xml:space="preserve">, </w:t>
      </w:r>
      <w:r w:rsidRPr="00E4340E">
        <w:rPr>
          <w:lang w:val="en-IE"/>
        </w:rPr>
        <w:t>p.</w:t>
      </w:r>
      <w:r>
        <w:t xml:space="preserve"> </w:t>
      </w:r>
      <w:r w:rsidRPr="00E4340E">
        <w:rPr>
          <w:lang w:val="en-IE"/>
        </w:rPr>
        <w:t xml:space="preserve">3.  </w:t>
      </w:r>
      <w:hyperlink r:id="rId3" w:history="1">
        <w:r w:rsidRPr="00E4340E">
          <w:rPr>
            <w:rStyle w:val="Hperlink"/>
          </w:rPr>
          <w:t>https://echa.europa.eu/documents/10162/28acf817-61a6-3ca6-4e85-a71ef0e07740</w:t>
        </w:r>
      </w:hyperlink>
      <w:r w:rsidRPr="00E4340E">
        <w:rPr>
          <w:rStyle w:val="Hperlink"/>
        </w:rPr>
        <w:t>.</w:t>
      </w:r>
    </w:p>
  </w:footnote>
  <w:footnote w:id="6">
    <w:p w14:paraId="08EB0C7D" w14:textId="68FAE213" w:rsidR="00A20526" w:rsidRPr="00A20526" w:rsidRDefault="00A20526" w:rsidP="00D96618">
      <w:pPr>
        <w:pStyle w:val="Allmrkusetekst"/>
        <w:ind w:left="0" w:firstLine="0"/>
      </w:pPr>
      <w:r w:rsidRPr="003340CB">
        <w:rPr>
          <w:rStyle w:val="Allmrkuseviide"/>
        </w:rPr>
        <w:footnoteRef/>
      </w:r>
      <w:r w:rsidR="003340CB">
        <w:rPr>
          <w:lang w:val="en-IE"/>
        </w:rPr>
        <w:tab/>
      </w:r>
      <w:hyperlink r:id="rId4" w:history="1">
        <w:r w:rsidRPr="00A71A91">
          <w:rPr>
            <w:rStyle w:val="Hperlink"/>
          </w:rPr>
          <w:t>https://www.cms.int/en/convention-text</w:t>
        </w:r>
      </w:hyperlink>
      <w:r w:rsidR="005D2726" w:rsidRPr="00536944">
        <w:t>.</w:t>
      </w:r>
    </w:p>
  </w:footnote>
  <w:footnote w:id="7">
    <w:p w14:paraId="3C4AD53A" w14:textId="32E381C3" w:rsidR="005023B1" w:rsidRPr="005023B1" w:rsidRDefault="005023B1" w:rsidP="00D96618">
      <w:pPr>
        <w:pStyle w:val="Allmrkusetekst"/>
        <w:ind w:left="0" w:firstLine="0"/>
      </w:pPr>
      <w:r w:rsidRPr="003340CB">
        <w:rPr>
          <w:rStyle w:val="Allmrkuseviide"/>
        </w:rPr>
        <w:footnoteRef/>
      </w:r>
      <w:r w:rsidR="003340CB">
        <w:tab/>
      </w:r>
      <w:bookmarkStart w:id="0" w:name="_Hlk175323976"/>
      <w:r w:rsidR="00D11383" w:rsidRPr="00E4340E">
        <w:fldChar w:fldCharType="begin"/>
      </w:r>
      <w:r w:rsidR="00D11383">
        <w:instrText>HYPERLINK "</w:instrText>
      </w:r>
      <w:r w:rsidR="00D11383" w:rsidRPr="003A22A9">
        <w:instrText>https://echa.europa.eu/documents/10162/17233/rest_lead_ammunition_COM_request_en.pdf</w:instrText>
      </w:r>
      <w:r w:rsidR="00D11383">
        <w:instrText>"</w:instrText>
      </w:r>
      <w:r w:rsidR="00D11383" w:rsidRPr="00E4340E">
        <w:fldChar w:fldCharType="separate"/>
      </w:r>
      <w:r w:rsidRPr="00EA31B1">
        <w:rPr>
          <w:rStyle w:val="Hperlink"/>
        </w:rPr>
        <w:t>https://echa.europa.eu/documents/10162/17233/rest_lead_ammunition_COM_request_en.pdf</w:t>
      </w:r>
      <w:r w:rsidR="00D11383" w:rsidRPr="00E4340E">
        <w:fldChar w:fldCharType="end"/>
      </w:r>
      <w:bookmarkEnd w:id="0"/>
      <w:r w:rsidR="005D2726" w:rsidRPr="00536944">
        <w:t>.</w:t>
      </w:r>
    </w:p>
  </w:footnote>
  <w:footnote w:id="8">
    <w:p w14:paraId="1DE2E64B" w14:textId="6582C831" w:rsidR="0062082D" w:rsidRPr="000573F7" w:rsidRDefault="0062082D" w:rsidP="00D96618">
      <w:pPr>
        <w:pStyle w:val="Allmrkusetekst"/>
        <w:ind w:left="0" w:firstLine="0"/>
        <w:rPr>
          <w:lang w:val="en-IE"/>
        </w:rPr>
      </w:pPr>
      <w:r w:rsidRPr="003340CB">
        <w:rPr>
          <w:rStyle w:val="Allmrkuseviide"/>
        </w:rPr>
        <w:footnoteRef/>
      </w:r>
      <w:r w:rsidR="003340CB">
        <w:tab/>
      </w:r>
      <w:r w:rsidR="000573F7" w:rsidRPr="00AA1C11">
        <w:t>European Chemicals Agency</w:t>
      </w:r>
      <w:r w:rsidR="00142AF8">
        <w:t>,</w:t>
      </w:r>
      <w:r w:rsidR="000573F7">
        <w:t xml:space="preserve"> </w:t>
      </w:r>
      <w:r w:rsidR="000573F7" w:rsidRPr="00E4340E">
        <w:rPr>
          <w:i/>
        </w:rPr>
        <w:t>Annex</w:t>
      </w:r>
      <w:r w:rsidR="004A769C" w:rsidRPr="00E4340E">
        <w:rPr>
          <w:i/>
          <w:iCs/>
        </w:rPr>
        <w:t> </w:t>
      </w:r>
      <w:r w:rsidR="000573F7" w:rsidRPr="00E4340E">
        <w:rPr>
          <w:i/>
        </w:rPr>
        <w:t>XV Restriction Report – Lead in outdoor shooting and fishing</w:t>
      </w:r>
      <w:r w:rsidR="00142AF8">
        <w:t>,</w:t>
      </w:r>
      <w:r w:rsidR="000573F7">
        <w:t xml:space="preserve"> </w:t>
      </w:r>
      <w:r w:rsidR="000573F7" w:rsidRPr="000573F7">
        <w:rPr>
          <w:lang w:val="en-IE"/>
        </w:rPr>
        <w:t>24</w:t>
      </w:r>
      <w:r w:rsidR="004A769C">
        <w:rPr>
          <w:lang w:val="en-IE"/>
        </w:rPr>
        <w:t> </w:t>
      </w:r>
      <w:r w:rsidR="000573F7" w:rsidRPr="000573F7">
        <w:rPr>
          <w:lang w:val="en-IE"/>
        </w:rPr>
        <w:t>March</w:t>
      </w:r>
      <w:r w:rsidR="004A769C">
        <w:rPr>
          <w:lang w:val="en-IE"/>
        </w:rPr>
        <w:t> </w:t>
      </w:r>
      <w:r w:rsidR="000573F7">
        <w:rPr>
          <w:lang w:val="en-IE"/>
        </w:rPr>
        <w:t>2021</w:t>
      </w:r>
      <w:r w:rsidR="00851F57">
        <w:rPr>
          <w:lang w:val="en-IE"/>
        </w:rPr>
        <w:t>,</w:t>
      </w:r>
      <w:r w:rsidR="000573F7" w:rsidRPr="000573F7">
        <w:rPr>
          <w:lang w:val="en-IE"/>
        </w:rPr>
        <w:t xml:space="preserve"> </w:t>
      </w:r>
      <w:hyperlink r:id="rId5" w:history="1">
        <w:r w:rsidRPr="000573F7">
          <w:rPr>
            <w:rStyle w:val="Hperlink"/>
            <w:lang w:val="en-IE"/>
          </w:rPr>
          <w:t>https://echa.europa.eu/documents/10162/da9bf395-e6c3-b48e-396f-afc8dcef0b21</w:t>
        </w:r>
      </w:hyperlink>
      <w:r w:rsidR="005D2726" w:rsidRPr="00536944">
        <w:t>.</w:t>
      </w:r>
    </w:p>
  </w:footnote>
  <w:footnote w:id="9">
    <w:p w14:paraId="24A98505" w14:textId="1A5CD160" w:rsidR="00724912" w:rsidRPr="00884CDB" w:rsidRDefault="00724912" w:rsidP="003A22A9">
      <w:pPr>
        <w:pStyle w:val="Allmrkusetekst"/>
        <w:ind w:left="0" w:firstLine="0"/>
      </w:pPr>
      <w:r w:rsidRPr="003340CB">
        <w:rPr>
          <w:rStyle w:val="Allmrkuseviide"/>
        </w:rPr>
        <w:footnoteRef/>
      </w:r>
      <w:r w:rsidR="003340CB">
        <w:tab/>
      </w:r>
      <w:r w:rsidR="004B6AB0">
        <w:t xml:space="preserve">The </w:t>
      </w:r>
      <w:r>
        <w:t xml:space="preserve">Committee for Risk Assessment (RAC) </w:t>
      </w:r>
      <w:r w:rsidR="004B6AB0">
        <w:t>and the</w:t>
      </w:r>
      <w:r>
        <w:t xml:space="preserve"> Committee for Socio-economic Analysis (SEAC)</w:t>
      </w:r>
      <w:r w:rsidR="004B6AB0">
        <w:t>,</w:t>
      </w:r>
      <w:r>
        <w:t xml:space="preserve"> </w:t>
      </w:r>
      <w:r w:rsidRPr="00E4340E">
        <w:rPr>
          <w:i/>
        </w:rPr>
        <w:t xml:space="preserve">Background Document to the Opinion on the </w:t>
      </w:r>
      <w:r w:rsidRPr="00557D15">
        <w:rPr>
          <w:i/>
        </w:rPr>
        <w:t>Annex</w:t>
      </w:r>
      <w:r w:rsidR="004A769C" w:rsidRPr="00557D15">
        <w:rPr>
          <w:i/>
          <w:iCs/>
        </w:rPr>
        <w:t> </w:t>
      </w:r>
      <w:r w:rsidRPr="00557D15">
        <w:rPr>
          <w:i/>
        </w:rPr>
        <w:t xml:space="preserve">XV dossier </w:t>
      </w:r>
      <w:r w:rsidRPr="00E4340E">
        <w:rPr>
          <w:i/>
        </w:rPr>
        <w:t xml:space="preserve">proposing restrictions on </w:t>
      </w:r>
      <w:r w:rsidR="0033108D" w:rsidRPr="00E4340E">
        <w:rPr>
          <w:i/>
        </w:rPr>
        <w:t>l</w:t>
      </w:r>
      <w:r w:rsidRPr="00E4340E">
        <w:rPr>
          <w:i/>
        </w:rPr>
        <w:t>ead in outdoor shooting and fishin</w:t>
      </w:r>
      <w:r w:rsidRPr="00557D15">
        <w:rPr>
          <w:i/>
        </w:rPr>
        <w:t>g</w:t>
      </w:r>
      <w:r w:rsidR="00851F57">
        <w:t>,</w:t>
      </w:r>
      <w:r>
        <w:t xml:space="preserve"> </w:t>
      </w:r>
      <w:r w:rsidR="00557D15">
        <w:t xml:space="preserve">p. 20, </w:t>
      </w:r>
      <w:hyperlink r:id="rId6" w:history="1">
        <w:r w:rsidR="00557D15" w:rsidRPr="00557D15">
          <w:rPr>
            <w:rStyle w:val="Hperlink"/>
          </w:rPr>
          <w:t>https://echa.europa.eu/documents/10162/14c4fceb-31b4-aea2-a9b5-75cdccf8013f</w:t>
        </w:r>
      </w:hyperlink>
      <w:r w:rsidR="005D2726" w:rsidRPr="00536944">
        <w:t>.</w:t>
      </w:r>
    </w:p>
  </w:footnote>
  <w:footnote w:id="10">
    <w:p w14:paraId="1660C605" w14:textId="370AF4F3" w:rsidR="00826C64" w:rsidRPr="00826C64" w:rsidRDefault="00826C64" w:rsidP="003A22A9">
      <w:pPr>
        <w:pStyle w:val="Allmrkusetekst"/>
        <w:ind w:left="0" w:firstLine="0"/>
      </w:pPr>
      <w:r w:rsidRPr="003340CB">
        <w:rPr>
          <w:rStyle w:val="Allmrkuseviide"/>
        </w:rPr>
        <w:footnoteRef/>
      </w:r>
      <w:r w:rsidR="003340CB">
        <w:tab/>
      </w:r>
      <w:r w:rsidR="00520DE4">
        <w:t xml:space="preserve">The </w:t>
      </w:r>
      <w:r w:rsidR="000573F7">
        <w:t>Committee for Risk Assessment (RAC)</w:t>
      </w:r>
      <w:r w:rsidR="00520DE4">
        <w:t>,</w:t>
      </w:r>
      <w:r w:rsidR="000573F7">
        <w:t xml:space="preserve"> </w:t>
      </w:r>
      <w:r w:rsidR="000573F7" w:rsidRPr="00E4340E">
        <w:rPr>
          <w:i/>
        </w:rPr>
        <w:t>Request by the Executive Director of ECHA under Art</w:t>
      </w:r>
      <w:r w:rsidR="00292971" w:rsidRPr="00E4340E">
        <w:rPr>
          <w:i/>
        </w:rPr>
        <w:t>icle</w:t>
      </w:r>
      <w:r w:rsidR="004A769C" w:rsidRPr="00E4340E">
        <w:rPr>
          <w:i/>
          <w:iCs/>
        </w:rPr>
        <w:t> </w:t>
      </w:r>
      <w:r w:rsidR="000573F7" w:rsidRPr="00E4340E">
        <w:rPr>
          <w:i/>
        </w:rPr>
        <w:t>77(3)(c) of REACH to prepare a supplementary opinion on the restriction dossier on lead in outdoor shooting and fishing</w:t>
      </w:r>
      <w:r w:rsidR="00520DE4">
        <w:t>,</w:t>
      </w:r>
      <w:r w:rsidR="000573F7">
        <w:t xml:space="preserve"> 1</w:t>
      </w:r>
      <w:r w:rsidR="00520DE4">
        <w:t> </w:t>
      </w:r>
      <w:r w:rsidR="000573F7">
        <w:t>December</w:t>
      </w:r>
      <w:r w:rsidR="00520DE4">
        <w:t> </w:t>
      </w:r>
      <w:r w:rsidR="000573F7">
        <w:t>2022</w:t>
      </w:r>
      <w:r w:rsidR="00851F57">
        <w:t>,</w:t>
      </w:r>
      <w:r w:rsidR="000573F7">
        <w:t xml:space="preserve"> </w:t>
      </w:r>
      <w:hyperlink r:id="rId7" w:history="1">
        <w:r w:rsidR="000573F7" w:rsidRPr="002C53BE">
          <w:rPr>
            <w:rStyle w:val="Hperlink"/>
          </w:rPr>
          <w:t>https://echa.europa.eu/documents/10162/e0a5c108-a7ed-dbd3-67ce-d00a6470d8ce</w:t>
        </w:r>
      </w:hyperlink>
      <w:r w:rsidR="005D2726" w:rsidRPr="00536944">
        <w:t>.</w:t>
      </w:r>
    </w:p>
  </w:footnote>
  <w:footnote w:id="11">
    <w:p w14:paraId="19995FF2" w14:textId="77CE8863" w:rsidR="0062082D" w:rsidRPr="00C86488" w:rsidRDefault="0062082D" w:rsidP="003A22A9">
      <w:pPr>
        <w:pStyle w:val="Allmrkusetekst"/>
        <w:ind w:left="0" w:firstLine="0"/>
        <w:rPr>
          <w:lang w:val="en-IE"/>
        </w:rPr>
      </w:pPr>
      <w:r w:rsidRPr="003340CB">
        <w:rPr>
          <w:rStyle w:val="Allmrkuseviide"/>
        </w:rPr>
        <w:footnoteRef/>
      </w:r>
      <w:r w:rsidR="003340CB">
        <w:rPr>
          <w:lang w:val="en-IE"/>
        </w:rPr>
        <w:tab/>
      </w:r>
      <w:r w:rsidR="00AF0B2E">
        <w:rPr>
          <w:lang w:val="en-IE"/>
        </w:rPr>
        <w:t xml:space="preserve">The </w:t>
      </w:r>
      <w:r w:rsidR="009F696B">
        <w:t>Committee for Risk Assessment (RAC)</w:t>
      </w:r>
      <w:r w:rsidR="00AF0B2E">
        <w:t xml:space="preserve"> and the</w:t>
      </w:r>
      <w:r w:rsidR="009F696B">
        <w:t xml:space="preserve"> Committee for Socio-economic Analysis (SEAC)</w:t>
      </w:r>
      <w:r w:rsidR="00AF0B2E">
        <w:t>,</w:t>
      </w:r>
      <w:r w:rsidR="009F696B">
        <w:t xml:space="preserve"> </w:t>
      </w:r>
      <w:r w:rsidR="009F696B" w:rsidRPr="00E4340E">
        <w:rPr>
          <w:i/>
        </w:rPr>
        <w:t>Opinion on an Annex</w:t>
      </w:r>
      <w:r w:rsidR="004A769C" w:rsidRPr="00E4340E">
        <w:rPr>
          <w:i/>
          <w:iCs/>
        </w:rPr>
        <w:t> </w:t>
      </w:r>
      <w:r w:rsidR="009F696B" w:rsidRPr="00E4340E">
        <w:rPr>
          <w:i/>
        </w:rPr>
        <w:t xml:space="preserve">XV dossier proposing restrictions on </w:t>
      </w:r>
      <w:r w:rsidR="00D11383" w:rsidRPr="00E4340E">
        <w:rPr>
          <w:i/>
        </w:rPr>
        <w:t xml:space="preserve">lead </w:t>
      </w:r>
      <w:r w:rsidR="009F696B" w:rsidRPr="00E4340E">
        <w:rPr>
          <w:i/>
        </w:rPr>
        <w:t>and its compounds</w:t>
      </w:r>
      <w:r w:rsidR="00AF0B2E">
        <w:t>,</w:t>
      </w:r>
      <w:r w:rsidR="009F696B">
        <w:t xml:space="preserve"> 2</w:t>
      </w:r>
      <w:r w:rsidR="004A769C">
        <w:t> </w:t>
      </w:r>
      <w:r w:rsidR="009F696B">
        <w:t>December</w:t>
      </w:r>
      <w:r w:rsidR="004A769C">
        <w:t> </w:t>
      </w:r>
      <w:r w:rsidR="009F696B">
        <w:t>2022</w:t>
      </w:r>
      <w:r w:rsidR="00851F57">
        <w:t>,</w:t>
      </w:r>
      <w:r w:rsidR="009F696B">
        <w:t xml:space="preserve"> </w:t>
      </w:r>
      <w:hyperlink r:id="rId8" w:history="1">
        <w:r w:rsidR="00C86488" w:rsidRPr="00025329">
          <w:rPr>
            <w:rStyle w:val="Hperlink"/>
            <w:lang w:val="en-IE"/>
          </w:rPr>
          <w:t>https://echa.europa.eu/documents/10162/2c82ef18-ce5d-4b4f-8ff0-002932154acc</w:t>
        </w:r>
      </w:hyperlink>
      <w:r w:rsidR="005D2726" w:rsidRPr="005369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1C7D" w14:textId="77777777" w:rsidR="007F38C7" w:rsidRPr="007F38C7" w:rsidRDefault="007F38C7" w:rsidP="007F38C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7550" w14:textId="77777777" w:rsidR="007F38C7" w:rsidRPr="007F38C7" w:rsidRDefault="007F38C7" w:rsidP="007F38C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B9BA" w14:textId="77777777" w:rsidR="007F38C7" w:rsidRPr="007F38C7" w:rsidRDefault="007F38C7" w:rsidP="007F38C7">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96BD" w14:textId="77777777" w:rsidR="00AC6009" w:rsidRDefault="00AC6009">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B1FC" w14:textId="77777777" w:rsidR="00AC6009" w:rsidRDefault="00AC600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06A7F00"/>
    <w:lvl w:ilvl="0">
      <w:start w:val="1"/>
      <w:numFmt w:val="bullet"/>
      <w:pStyle w:val="Loenditpp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82C3DA6"/>
    <w:lvl w:ilvl="0">
      <w:start w:val="1"/>
      <w:numFmt w:val="bullet"/>
      <w:pStyle w:val="Loenditpp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1A6F70"/>
    <w:lvl w:ilvl="0">
      <w:start w:val="1"/>
      <w:numFmt w:val="bullet"/>
      <w:pStyle w:val="Loenditpp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9B65040"/>
    <w:lvl w:ilvl="0">
      <w:start w:val="1"/>
      <w:numFmt w:val="bullet"/>
      <w:pStyle w:val="Loenditpp"/>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95703432">
    <w:abstractNumId w:val="3"/>
  </w:num>
  <w:num w:numId="2" w16cid:durableId="230968165">
    <w:abstractNumId w:val="2"/>
  </w:num>
  <w:num w:numId="3" w16cid:durableId="846486696">
    <w:abstractNumId w:val="1"/>
  </w:num>
  <w:num w:numId="4" w16cid:durableId="2015765486">
    <w:abstractNumId w:val="0"/>
  </w:num>
  <w:num w:numId="5" w16cid:durableId="1260329124">
    <w:abstractNumId w:val="18"/>
    <w:lvlOverride w:ilvl="0">
      <w:startOverride w:val="1"/>
    </w:lvlOverride>
  </w:num>
  <w:num w:numId="6" w16cid:durableId="1822428556">
    <w:abstractNumId w:val="15"/>
  </w:num>
  <w:num w:numId="7" w16cid:durableId="1776972833">
    <w:abstractNumId w:val="8"/>
  </w:num>
  <w:num w:numId="8" w16cid:durableId="8413984">
    <w:abstractNumId w:val="17"/>
  </w:num>
  <w:num w:numId="9" w16cid:durableId="1714960065">
    <w:abstractNumId w:val="7"/>
  </w:num>
  <w:num w:numId="10" w16cid:durableId="1719821103">
    <w:abstractNumId w:val="9"/>
  </w:num>
  <w:num w:numId="11" w16cid:durableId="1212811434">
    <w:abstractNumId w:val="10"/>
  </w:num>
  <w:num w:numId="12" w16cid:durableId="877667229">
    <w:abstractNumId w:val="5"/>
  </w:num>
  <w:num w:numId="13" w16cid:durableId="169608879">
    <w:abstractNumId w:val="16"/>
  </w:num>
  <w:num w:numId="14" w16cid:durableId="1062404473">
    <w:abstractNumId w:val="4"/>
  </w:num>
  <w:num w:numId="15" w16cid:durableId="1047216628">
    <w:abstractNumId w:val="11"/>
  </w:num>
  <w:num w:numId="16" w16cid:durableId="603222457">
    <w:abstractNumId w:val="13"/>
  </w:num>
  <w:num w:numId="17" w16cid:durableId="1578976614">
    <w:abstractNumId w:val="14"/>
  </w:num>
  <w:num w:numId="18" w16cid:durableId="760637230">
    <w:abstractNumId w:val="6"/>
  </w:num>
  <w:num w:numId="19" w16cid:durableId="1004431987">
    <w:abstractNumId w:val="12"/>
  </w:num>
  <w:num w:numId="20" w16cid:durableId="626282027">
    <w:abstractNumId w:val="18"/>
  </w:num>
  <w:num w:numId="21" w16cid:durableId="1070735377">
    <w:abstractNumId w:val="15"/>
  </w:num>
  <w:num w:numId="22" w16cid:durableId="876772425">
    <w:abstractNumId w:val="8"/>
  </w:num>
  <w:num w:numId="23" w16cid:durableId="911741980">
    <w:abstractNumId w:val="17"/>
  </w:num>
  <w:num w:numId="24" w16cid:durableId="843933301">
    <w:abstractNumId w:val="7"/>
  </w:num>
  <w:num w:numId="25" w16cid:durableId="1026951997">
    <w:abstractNumId w:val="9"/>
  </w:num>
  <w:num w:numId="26" w16cid:durableId="348995893">
    <w:abstractNumId w:val="10"/>
  </w:num>
  <w:num w:numId="27" w16cid:durableId="2114932871">
    <w:abstractNumId w:val="5"/>
  </w:num>
  <w:num w:numId="28" w16cid:durableId="1560744774">
    <w:abstractNumId w:val="16"/>
  </w:num>
  <w:num w:numId="29" w16cid:durableId="132018014">
    <w:abstractNumId w:val="4"/>
  </w:num>
  <w:num w:numId="30" w16cid:durableId="1528720000">
    <w:abstractNumId w:val="11"/>
  </w:num>
  <w:num w:numId="31" w16cid:durableId="1817842609">
    <w:abstractNumId w:val="13"/>
  </w:num>
  <w:num w:numId="32" w16cid:durableId="1802654573">
    <w:abstractNumId w:val="14"/>
  </w:num>
  <w:num w:numId="33" w16cid:durableId="1637370573">
    <w:abstractNumId w:val="6"/>
  </w:num>
  <w:num w:numId="34" w16cid:durableId="619454424">
    <w:abstractNumId w:val="12"/>
  </w:num>
  <w:num w:numId="35" w16cid:durableId="21458512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5-02-20 16:46: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411A1BD-64F9-4CF0-ABAB-B5DFB34F6E44"/>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lead in ammunition and fishing tackle"/>
    <w:docVar w:name="LW_TYPE.DOC.CP" w:val="COMMISSION REGULATION (EU) \u8230?/\u8230?"/>
  </w:docVars>
  <w:rsids>
    <w:rsidRoot w:val="00A1460C"/>
    <w:rsid w:val="00000C19"/>
    <w:rsid w:val="000019AC"/>
    <w:rsid w:val="00002400"/>
    <w:rsid w:val="0000291B"/>
    <w:rsid w:val="00002CE0"/>
    <w:rsid w:val="00003042"/>
    <w:rsid w:val="00003990"/>
    <w:rsid w:val="000047C7"/>
    <w:rsid w:val="00005C3F"/>
    <w:rsid w:val="000062FF"/>
    <w:rsid w:val="00006407"/>
    <w:rsid w:val="0000666B"/>
    <w:rsid w:val="000072A2"/>
    <w:rsid w:val="00010E33"/>
    <w:rsid w:val="000110CC"/>
    <w:rsid w:val="00011283"/>
    <w:rsid w:val="00011990"/>
    <w:rsid w:val="00011BEA"/>
    <w:rsid w:val="000121A1"/>
    <w:rsid w:val="000124EA"/>
    <w:rsid w:val="00012D02"/>
    <w:rsid w:val="000133B9"/>
    <w:rsid w:val="000134CD"/>
    <w:rsid w:val="00013626"/>
    <w:rsid w:val="00013A18"/>
    <w:rsid w:val="00013C9C"/>
    <w:rsid w:val="00014959"/>
    <w:rsid w:val="000160C2"/>
    <w:rsid w:val="00016256"/>
    <w:rsid w:val="000167D9"/>
    <w:rsid w:val="00016C2A"/>
    <w:rsid w:val="00016E74"/>
    <w:rsid w:val="00020520"/>
    <w:rsid w:val="00021C70"/>
    <w:rsid w:val="00023022"/>
    <w:rsid w:val="00024AB8"/>
    <w:rsid w:val="00024EEF"/>
    <w:rsid w:val="00024F25"/>
    <w:rsid w:val="000251C7"/>
    <w:rsid w:val="000254D2"/>
    <w:rsid w:val="00025845"/>
    <w:rsid w:val="00026288"/>
    <w:rsid w:val="0002681C"/>
    <w:rsid w:val="000276E1"/>
    <w:rsid w:val="00027742"/>
    <w:rsid w:val="00027F3E"/>
    <w:rsid w:val="00030714"/>
    <w:rsid w:val="00030C05"/>
    <w:rsid w:val="000310FE"/>
    <w:rsid w:val="00031643"/>
    <w:rsid w:val="00031E83"/>
    <w:rsid w:val="000332DD"/>
    <w:rsid w:val="00033610"/>
    <w:rsid w:val="00033E30"/>
    <w:rsid w:val="00034456"/>
    <w:rsid w:val="00035291"/>
    <w:rsid w:val="0003532F"/>
    <w:rsid w:val="000356B4"/>
    <w:rsid w:val="0003600B"/>
    <w:rsid w:val="00036084"/>
    <w:rsid w:val="0003611C"/>
    <w:rsid w:val="0003620F"/>
    <w:rsid w:val="00036869"/>
    <w:rsid w:val="00037F1F"/>
    <w:rsid w:val="00037F6E"/>
    <w:rsid w:val="000417C2"/>
    <w:rsid w:val="00041816"/>
    <w:rsid w:val="00042291"/>
    <w:rsid w:val="000426BF"/>
    <w:rsid w:val="000428B0"/>
    <w:rsid w:val="00043716"/>
    <w:rsid w:val="00043F71"/>
    <w:rsid w:val="00043FAC"/>
    <w:rsid w:val="000441B9"/>
    <w:rsid w:val="00044AC0"/>
    <w:rsid w:val="00044CF1"/>
    <w:rsid w:val="00045769"/>
    <w:rsid w:val="000464E3"/>
    <w:rsid w:val="0004792B"/>
    <w:rsid w:val="00047DC7"/>
    <w:rsid w:val="00051A32"/>
    <w:rsid w:val="00052106"/>
    <w:rsid w:val="000524B2"/>
    <w:rsid w:val="000536DE"/>
    <w:rsid w:val="00053AA2"/>
    <w:rsid w:val="00053ABE"/>
    <w:rsid w:val="00053D60"/>
    <w:rsid w:val="000540AF"/>
    <w:rsid w:val="00054498"/>
    <w:rsid w:val="000549B9"/>
    <w:rsid w:val="00054B9C"/>
    <w:rsid w:val="00055080"/>
    <w:rsid w:val="0005512E"/>
    <w:rsid w:val="00055274"/>
    <w:rsid w:val="000553E3"/>
    <w:rsid w:val="000556A7"/>
    <w:rsid w:val="00055777"/>
    <w:rsid w:val="00055AFA"/>
    <w:rsid w:val="00055C00"/>
    <w:rsid w:val="00056198"/>
    <w:rsid w:val="0005670A"/>
    <w:rsid w:val="000573F7"/>
    <w:rsid w:val="00060499"/>
    <w:rsid w:val="00061DDA"/>
    <w:rsid w:val="00062ED7"/>
    <w:rsid w:val="00063693"/>
    <w:rsid w:val="00063699"/>
    <w:rsid w:val="0006421B"/>
    <w:rsid w:val="0006488F"/>
    <w:rsid w:val="00064D7A"/>
    <w:rsid w:val="0006574C"/>
    <w:rsid w:val="000657C7"/>
    <w:rsid w:val="000659B9"/>
    <w:rsid w:val="000660AA"/>
    <w:rsid w:val="00066C0D"/>
    <w:rsid w:val="000701F5"/>
    <w:rsid w:val="00070654"/>
    <w:rsid w:val="00071146"/>
    <w:rsid w:val="0007118E"/>
    <w:rsid w:val="00072AB9"/>
    <w:rsid w:val="00072CEC"/>
    <w:rsid w:val="00072DEB"/>
    <w:rsid w:val="000731C8"/>
    <w:rsid w:val="00073AEE"/>
    <w:rsid w:val="00073D3C"/>
    <w:rsid w:val="00074F65"/>
    <w:rsid w:val="00074FC4"/>
    <w:rsid w:val="00075FDA"/>
    <w:rsid w:val="00076EB9"/>
    <w:rsid w:val="00077E78"/>
    <w:rsid w:val="000810B1"/>
    <w:rsid w:val="00081B77"/>
    <w:rsid w:val="000834B4"/>
    <w:rsid w:val="00083BFD"/>
    <w:rsid w:val="00084090"/>
    <w:rsid w:val="00085A06"/>
    <w:rsid w:val="00085FDF"/>
    <w:rsid w:val="000863A4"/>
    <w:rsid w:val="000866BE"/>
    <w:rsid w:val="000869C2"/>
    <w:rsid w:val="00087879"/>
    <w:rsid w:val="00087AC7"/>
    <w:rsid w:val="000903CE"/>
    <w:rsid w:val="00090657"/>
    <w:rsid w:val="000907D7"/>
    <w:rsid w:val="00090EA2"/>
    <w:rsid w:val="000911DB"/>
    <w:rsid w:val="000915D4"/>
    <w:rsid w:val="00091634"/>
    <w:rsid w:val="00091911"/>
    <w:rsid w:val="00091B69"/>
    <w:rsid w:val="00093379"/>
    <w:rsid w:val="00093E52"/>
    <w:rsid w:val="0009406A"/>
    <w:rsid w:val="00094101"/>
    <w:rsid w:val="00094510"/>
    <w:rsid w:val="00094882"/>
    <w:rsid w:val="0009574D"/>
    <w:rsid w:val="00095E55"/>
    <w:rsid w:val="00095EAF"/>
    <w:rsid w:val="00096184"/>
    <w:rsid w:val="000974E0"/>
    <w:rsid w:val="000977F6"/>
    <w:rsid w:val="000A04CF"/>
    <w:rsid w:val="000A06AC"/>
    <w:rsid w:val="000A0DE3"/>
    <w:rsid w:val="000A1CCB"/>
    <w:rsid w:val="000A1F71"/>
    <w:rsid w:val="000A2005"/>
    <w:rsid w:val="000A246C"/>
    <w:rsid w:val="000A2C30"/>
    <w:rsid w:val="000A3039"/>
    <w:rsid w:val="000A5033"/>
    <w:rsid w:val="000A544E"/>
    <w:rsid w:val="000A6506"/>
    <w:rsid w:val="000A769C"/>
    <w:rsid w:val="000A7A2B"/>
    <w:rsid w:val="000B0099"/>
    <w:rsid w:val="000B25DC"/>
    <w:rsid w:val="000B2813"/>
    <w:rsid w:val="000B283D"/>
    <w:rsid w:val="000B291E"/>
    <w:rsid w:val="000B2F30"/>
    <w:rsid w:val="000B32C8"/>
    <w:rsid w:val="000B3A62"/>
    <w:rsid w:val="000B3C9E"/>
    <w:rsid w:val="000B3D70"/>
    <w:rsid w:val="000B49D6"/>
    <w:rsid w:val="000B4F5F"/>
    <w:rsid w:val="000B5B8C"/>
    <w:rsid w:val="000B5FBA"/>
    <w:rsid w:val="000B663B"/>
    <w:rsid w:val="000B6B1F"/>
    <w:rsid w:val="000B72A6"/>
    <w:rsid w:val="000B7394"/>
    <w:rsid w:val="000C0912"/>
    <w:rsid w:val="000C097D"/>
    <w:rsid w:val="000C0CBF"/>
    <w:rsid w:val="000C1278"/>
    <w:rsid w:val="000C1431"/>
    <w:rsid w:val="000C1ECC"/>
    <w:rsid w:val="000C2013"/>
    <w:rsid w:val="000C31F5"/>
    <w:rsid w:val="000C3D08"/>
    <w:rsid w:val="000C4157"/>
    <w:rsid w:val="000C4877"/>
    <w:rsid w:val="000C5611"/>
    <w:rsid w:val="000C6498"/>
    <w:rsid w:val="000C6758"/>
    <w:rsid w:val="000C679F"/>
    <w:rsid w:val="000C7240"/>
    <w:rsid w:val="000C741D"/>
    <w:rsid w:val="000C75E4"/>
    <w:rsid w:val="000D0070"/>
    <w:rsid w:val="000D057F"/>
    <w:rsid w:val="000D113D"/>
    <w:rsid w:val="000D1D4A"/>
    <w:rsid w:val="000D1F23"/>
    <w:rsid w:val="000D323B"/>
    <w:rsid w:val="000D327C"/>
    <w:rsid w:val="000D334D"/>
    <w:rsid w:val="000D39EC"/>
    <w:rsid w:val="000D3A51"/>
    <w:rsid w:val="000D40FB"/>
    <w:rsid w:val="000D4942"/>
    <w:rsid w:val="000D4E27"/>
    <w:rsid w:val="000D6AAB"/>
    <w:rsid w:val="000D6CB8"/>
    <w:rsid w:val="000D7313"/>
    <w:rsid w:val="000D78AF"/>
    <w:rsid w:val="000D7916"/>
    <w:rsid w:val="000D7BE2"/>
    <w:rsid w:val="000D7E1F"/>
    <w:rsid w:val="000D7EC2"/>
    <w:rsid w:val="000E00F5"/>
    <w:rsid w:val="000E00F6"/>
    <w:rsid w:val="000E08DF"/>
    <w:rsid w:val="000E1392"/>
    <w:rsid w:val="000E1C75"/>
    <w:rsid w:val="000E2D21"/>
    <w:rsid w:val="000E55EB"/>
    <w:rsid w:val="000E5CE3"/>
    <w:rsid w:val="000E64C4"/>
    <w:rsid w:val="000E6D64"/>
    <w:rsid w:val="000E6E98"/>
    <w:rsid w:val="000E73BF"/>
    <w:rsid w:val="000E7414"/>
    <w:rsid w:val="000F022A"/>
    <w:rsid w:val="000F0524"/>
    <w:rsid w:val="000F0ADE"/>
    <w:rsid w:val="000F1312"/>
    <w:rsid w:val="000F22DF"/>
    <w:rsid w:val="000F2A12"/>
    <w:rsid w:val="000F2C27"/>
    <w:rsid w:val="000F2CCE"/>
    <w:rsid w:val="000F533F"/>
    <w:rsid w:val="000F6941"/>
    <w:rsid w:val="000F6CDE"/>
    <w:rsid w:val="000F7180"/>
    <w:rsid w:val="000F7515"/>
    <w:rsid w:val="000F77C9"/>
    <w:rsid w:val="00100DA6"/>
    <w:rsid w:val="00100E13"/>
    <w:rsid w:val="001026C3"/>
    <w:rsid w:val="001044FF"/>
    <w:rsid w:val="00105AC9"/>
    <w:rsid w:val="00105AF3"/>
    <w:rsid w:val="00105CB4"/>
    <w:rsid w:val="00105D4A"/>
    <w:rsid w:val="001065F5"/>
    <w:rsid w:val="00106A46"/>
    <w:rsid w:val="00106D3D"/>
    <w:rsid w:val="001073C4"/>
    <w:rsid w:val="00110BB5"/>
    <w:rsid w:val="00110C0D"/>
    <w:rsid w:val="00111AA6"/>
    <w:rsid w:val="001138D5"/>
    <w:rsid w:val="00115401"/>
    <w:rsid w:val="0011567C"/>
    <w:rsid w:val="001170F2"/>
    <w:rsid w:val="00117865"/>
    <w:rsid w:val="0011792F"/>
    <w:rsid w:val="001204C3"/>
    <w:rsid w:val="0012078E"/>
    <w:rsid w:val="00120AE1"/>
    <w:rsid w:val="00120E85"/>
    <w:rsid w:val="00121794"/>
    <w:rsid w:val="00123481"/>
    <w:rsid w:val="001238EF"/>
    <w:rsid w:val="00123A8F"/>
    <w:rsid w:val="001241FE"/>
    <w:rsid w:val="00124219"/>
    <w:rsid w:val="00124D80"/>
    <w:rsid w:val="0012528B"/>
    <w:rsid w:val="00126316"/>
    <w:rsid w:val="001265DD"/>
    <w:rsid w:val="001270E0"/>
    <w:rsid w:val="0013005C"/>
    <w:rsid w:val="00130102"/>
    <w:rsid w:val="001301D3"/>
    <w:rsid w:val="00130376"/>
    <w:rsid w:val="00130653"/>
    <w:rsid w:val="0013133F"/>
    <w:rsid w:val="00133337"/>
    <w:rsid w:val="001334CC"/>
    <w:rsid w:val="00133623"/>
    <w:rsid w:val="00133A6E"/>
    <w:rsid w:val="00135762"/>
    <w:rsid w:val="00135E17"/>
    <w:rsid w:val="00135E7D"/>
    <w:rsid w:val="00136B52"/>
    <w:rsid w:val="00137496"/>
    <w:rsid w:val="001417B6"/>
    <w:rsid w:val="00142937"/>
    <w:rsid w:val="00142AF8"/>
    <w:rsid w:val="00142D1F"/>
    <w:rsid w:val="00142F40"/>
    <w:rsid w:val="001439E5"/>
    <w:rsid w:val="00143C50"/>
    <w:rsid w:val="00144A22"/>
    <w:rsid w:val="00144D76"/>
    <w:rsid w:val="0014578E"/>
    <w:rsid w:val="001458B8"/>
    <w:rsid w:val="00145A2F"/>
    <w:rsid w:val="00145D1B"/>
    <w:rsid w:val="00145FDF"/>
    <w:rsid w:val="0014648F"/>
    <w:rsid w:val="0014650B"/>
    <w:rsid w:val="001467E2"/>
    <w:rsid w:val="00146A6D"/>
    <w:rsid w:val="0015014D"/>
    <w:rsid w:val="00150A0B"/>
    <w:rsid w:val="00150A2A"/>
    <w:rsid w:val="00151B7A"/>
    <w:rsid w:val="00152068"/>
    <w:rsid w:val="00152E26"/>
    <w:rsid w:val="00153DAC"/>
    <w:rsid w:val="00154290"/>
    <w:rsid w:val="00154871"/>
    <w:rsid w:val="0015545E"/>
    <w:rsid w:val="00155D1F"/>
    <w:rsid w:val="00155F36"/>
    <w:rsid w:val="00156485"/>
    <w:rsid w:val="00160D26"/>
    <w:rsid w:val="00160FA5"/>
    <w:rsid w:val="00161977"/>
    <w:rsid w:val="001619F5"/>
    <w:rsid w:val="00161F81"/>
    <w:rsid w:val="001621A3"/>
    <w:rsid w:val="00162597"/>
    <w:rsid w:val="00162917"/>
    <w:rsid w:val="00162FF9"/>
    <w:rsid w:val="00163008"/>
    <w:rsid w:val="0016346A"/>
    <w:rsid w:val="001635C7"/>
    <w:rsid w:val="00164C63"/>
    <w:rsid w:val="00164DCC"/>
    <w:rsid w:val="00165ACC"/>
    <w:rsid w:val="00167250"/>
    <w:rsid w:val="001679B4"/>
    <w:rsid w:val="00167B8A"/>
    <w:rsid w:val="00167FF7"/>
    <w:rsid w:val="001709D1"/>
    <w:rsid w:val="00170D53"/>
    <w:rsid w:val="0017116F"/>
    <w:rsid w:val="001714BE"/>
    <w:rsid w:val="0017164B"/>
    <w:rsid w:val="00171E97"/>
    <w:rsid w:val="00173D2C"/>
    <w:rsid w:val="00173F56"/>
    <w:rsid w:val="00174780"/>
    <w:rsid w:val="00174A2D"/>
    <w:rsid w:val="00174B9B"/>
    <w:rsid w:val="00175011"/>
    <w:rsid w:val="00175ABD"/>
    <w:rsid w:val="00176046"/>
    <w:rsid w:val="001761CE"/>
    <w:rsid w:val="0017648A"/>
    <w:rsid w:val="0017697F"/>
    <w:rsid w:val="00176CB5"/>
    <w:rsid w:val="0018003F"/>
    <w:rsid w:val="001807B5"/>
    <w:rsid w:val="001807E7"/>
    <w:rsid w:val="00180C84"/>
    <w:rsid w:val="00181FFB"/>
    <w:rsid w:val="00182A11"/>
    <w:rsid w:val="00182B6C"/>
    <w:rsid w:val="001837E9"/>
    <w:rsid w:val="00185C52"/>
    <w:rsid w:val="00185CC0"/>
    <w:rsid w:val="001860C5"/>
    <w:rsid w:val="001860CF"/>
    <w:rsid w:val="00186C8B"/>
    <w:rsid w:val="00187074"/>
    <w:rsid w:val="001878B8"/>
    <w:rsid w:val="0018796A"/>
    <w:rsid w:val="00191916"/>
    <w:rsid w:val="00191ECB"/>
    <w:rsid w:val="00192239"/>
    <w:rsid w:val="001926E6"/>
    <w:rsid w:val="00192A88"/>
    <w:rsid w:val="00193B46"/>
    <w:rsid w:val="001943BF"/>
    <w:rsid w:val="00195272"/>
    <w:rsid w:val="00195D28"/>
    <w:rsid w:val="00196EED"/>
    <w:rsid w:val="001970AF"/>
    <w:rsid w:val="00197613"/>
    <w:rsid w:val="001A045C"/>
    <w:rsid w:val="001A0ABB"/>
    <w:rsid w:val="001A0F94"/>
    <w:rsid w:val="001A20F2"/>
    <w:rsid w:val="001A27C5"/>
    <w:rsid w:val="001A34B1"/>
    <w:rsid w:val="001A370A"/>
    <w:rsid w:val="001A38A1"/>
    <w:rsid w:val="001A415C"/>
    <w:rsid w:val="001A45CB"/>
    <w:rsid w:val="001A495F"/>
    <w:rsid w:val="001A4E15"/>
    <w:rsid w:val="001A4ECB"/>
    <w:rsid w:val="001A6C25"/>
    <w:rsid w:val="001B052B"/>
    <w:rsid w:val="001B0FD7"/>
    <w:rsid w:val="001B163E"/>
    <w:rsid w:val="001B195A"/>
    <w:rsid w:val="001B1BC9"/>
    <w:rsid w:val="001B2498"/>
    <w:rsid w:val="001B2F51"/>
    <w:rsid w:val="001B302A"/>
    <w:rsid w:val="001B3251"/>
    <w:rsid w:val="001B494D"/>
    <w:rsid w:val="001B4ADA"/>
    <w:rsid w:val="001B4D9B"/>
    <w:rsid w:val="001B5484"/>
    <w:rsid w:val="001B597E"/>
    <w:rsid w:val="001B765C"/>
    <w:rsid w:val="001B767E"/>
    <w:rsid w:val="001C032E"/>
    <w:rsid w:val="001C0757"/>
    <w:rsid w:val="001C08FE"/>
    <w:rsid w:val="001C0F22"/>
    <w:rsid w:val="001C2008"/>
    <w:rsid w:val="001C37C7"/>
    <w:rsid w:val="001C3A3A"/>
    <w:rsid w:val="001C3EFF"/>
    <w:rsid w:val="001C41EC"/>
    <w:rsid w:val="001C43C8"/>
    <w:rsid w:val="001C45DD"/>
    <w:rsid w:val="001C4600"/>
    <w:rsid w:val="001C5257"/>
    <w:rsid w:val="001C568E"/>
    <w:rsid w:val="001C56D1"/>
    <w:rsid w:val="001C585F"/>
    <w:rsid w:val="001C5CCA"/>
    <w:rsid w:val="001C6C53"/>
    <w:rsid w:val="001C7A4D"/>
    <w:rsid w:val="001C7A65"/>
    <w:rsid w:val="001D0556"/>
    <w:rsid w:val="001D06AC"/>
    <w:rsid w:val="001D0C4D"/>
    <w:rsid w:val="001D0C6D"/>
    <w:rsid w:val="001D1E27"/>
    <w:rsid w:val="001D3361"/>
    <w:rsid w:val="001D39C5"/>
    <w:rsid w:val="001D4B1E"/>
    <w:rsid w:val="001D558D"/>
    <w:rsid w:val="001D561C"/>
    <w:rsid w:val="001D5773"/>
    <w:rsid w:val="001D6062"/>
    <w:rsid w:val="001D7C4C"/>
    <w:rsid w:val="001D7DF9"/>
    <w:rsid w:val="001E06B5"/>
    <w:rsid w:val="001E18CD"/>
    <w:rsid w:val="001E1A57"/>
    <w:rsid w:val="001E2E89"/>
    <w:rsid w:val="001E3BA3"/>
    <w:rsid w:val="001E4174"/>
    <w:rsid w:val="001E4F0F"/>
    <w:rsid w:val="001E68C0"/>
    <w:rsid w:val="001E6BB5"/>
    <w:rsid w:val="001E7008"/>
    <w:rsid w:val="001E72CD"/>
    <w:rsid w:val="001E7E53"/>
    <w:rsid w:val="001F09EF"/>
    <w:rsid w:val="001F1B46"/>
    <w:rsid w:val="001F2638"/>
    <w:rsid w:val="001F2F6E"/>
    <w:rsid w:val="001F3408"/>
    <w:rsid w:val="001F3713"/>
    <w:rsid w:val="001F40A3"/>
    <w:rsid w:val="001F4302"/>
    <w:rsid w:val="001F52D7"/>
    <w:rsid w:val="001F58C6"/>
    <w:rsid w:val="001F59BA"/>
    <w:rsid w:val="001F61D1"/>
    <w:rsid w:val="001F61D2"/>
    <w:rsid w:val="001F6470"/>
    <w:rsid w:val="001F7377"/>
    <w:rsid w:val="00200446"/>
    <w:rsid w:val="00200DD3"/>
    <w:rsid w:val="00200FE9"/>
    <w:rsid w:val="002013FC"/>
    <w:rsid w:val="00201749"/>
    <w:rsid w:val="002019D3"/>
    <w:rsid w:val="00202212"/>
    <w:rsid w:val="00203140"/>
    <w:rsid w:val="00203169"/>
    <w:rsid w:val="002034D8"/>
    <w:rsid w:val="00203CEF"/>
    <w:rsid w:val="002040B6"/>
    <w:rsid w:val="0020514B"/>
    <w:rsid w:val="002058E0"/>
    <w:rsid w:val="002059C3"/>
    <w:rsid w:val="00205BEE"/>
    <w:rsid w:val="00205C53"/>
    <w:rsid w:val="00205F34"/>
    <w:rsid w:val="0020657E"/>
    <w:rsid w:val="00206865"/>
    <w:rsid w:val="00206A1B"/>
    <w:rsid w:val="00207941"/>
    <w:rsid w:val="00207A5A"/>
    <w:rsid w:val="00207A61"/>
    <w:rsid w:val="00207B92"/>
    <w:rsid w:val="0021039F"/>
    <w:rsid w:val="00211828"/>
    <w:rsid w:val="002121E7"/>
    <w:rsid w:val="00212883"/>
    <w:rsid w:val="002128CD"/>
    <w:rsid w:val="00212D19"/>
    <w:rsid w:val="002142D1"/>
    <w:rsid w:val="00214C84"/>
    <w:rsid w:val="002153C5"/>
    <w:rsid w:val="00215984"/>
    <w:rsid w:val="00215A7D"/>
    <w:rsid w:val="002169D0"/>
    <w:rsid w:val="00216B13"/>
    <w:rsid w:val="00216CBD"/>
    <w:rsid w:val="00216E7D"/>
    <w:rsid w:val="00217D39"/>
    <w:rsid w:val="00217E15"/>
    <w:rsid w:val="002200C2"/>
    <w:rsid w:val="00220338"/>
    <w:rsid w:val="00220ED0"/>
    <w:rsid w:val="00221342"/>
    <w:rsid w:val="00222018"/>
    <w:rsid w:val="002226CB"/>
    <w:rsid w:val="002228F3"/>
    <w:rsid w:val="002238D2"/>
    <w:rsid w:val="00223F92"/>
    <w:rsid w:val="00224005"/>
    <w:rsid w:val="0022415D"/>
    <w:rsid w:val="002242C3"/>
    <w:rsid w:val="00225243"/>
    <w:rsid w:val="00225943"/>
    <w:rsid w:val="00227793"/>
    <w:rsid w:val="00230D9B"/>
    <w:rsid w:val="00230DF6"/>
    <w:rsid w:val="00232603"/>
    <w:rsid w:val="002326BB"/>
    <w:rsid w:val="002327D1"/>
    <w:rsid w:val="00232B1A"/>
    <w:rsid w:val="00232ECC"/>
    <w:rsid w:val="002335DF"/>
    <w:rsid w:val="00233A52"/>
    <w:rsid w:val="00233AE1"/>
    <w:rsid w:val="00233D7E"/>
    <w:rsid w:val="00233DC7"/>
    <w:rsid w:val="00233EEE"/>
    <w:rsid w:val="00234618"/>
    <w:rsid w:val="00234E63"/>
    <w:rsid w:val="002351B3"/>
    <w:rsid w:val="002357AC"/>
    <w:rsid w:val="00236182"/>
    <w:rsid w:val="00236351"/>
    <w:rsid w:val="0023671F"/>
    <w:rsid w:val="00236FC2"/>
    <w:rsid w:val="00237CE5"/>
    <w:rsid w:val="00240427"/>
    <w:rsid w:val="00240644"/>
    <w:rsid w:val="00240D8E"/>
    <w:rsid w:val="00240F5A"/>
    <w:rsid w:val="00241682"/>
    <w:rsid w:val="00241836"/>
    <w:rsid w:val="002423FC"/>
    <w:rsid w:val="00242947"/>
    <w:rsid w:val="00242BA5"/>
    <w:rsid w:val="00242C80"/>
    <w:rsid w:val="00243653"/>
    <w:rsid w:val="00244464"/>
    <w:rsid w:val="0024503E"/>
    <w:rsid w:val="002460A2"/>
    <w:rsid w:val="00246994"/>
    <w:rsid w:val="00247779"/>
    <w:rsid w:val="00247EE7"/>
    <w:rsid w:val="00250B06"/>
    <w:rsid w:val="002515D7"/>
    <w:rsid w:val="00252CAE"/>
    <w:rsid w:val="00253A2D"/>
    <w:rsid w:val="00253AC1"/>
    <w:rsid w:val="00254208"/>
    <w:rsid w:val="00254A49"/>
    <w:rsid w:val="002557E4"/>
    <w:rsid w:val="00255A7E"/>
    <w:rsid w:val="002565FD"/>
    <w:rsid w:val="002566AE"/>
    <w:rsid w:val="002567C3"/>
    <w:rsid w:val="00256945"/>
    <w:rsid w:val="00256B4C"/>
    <w:rsid w:val="00256DD3"/>
    <w:rsid w:val="00257C57"/>
    <w:rsid w:val="00257EE1"/>
    <w:rsid w:val="002601AE"/>
    <w:rsid w:val="00260AD6"/>
    <w:rsid w:val="00260D8C"/>
    <w:rsid w:val="00260E1C"/>
    <w:rsid w:val="00261351"/>
    <w:rsid w:val="0026161B"/>
    <w:rsid w:val="00261C73"/>
    <w:rsid w:val="00261F74"/>
    <w:rsid w:val="00262183"/>
    <w:rsid w:val="0026226F"/>
    <w:rsid w:val="0026271B"/>
    <w:rsid w:val="00262F96"/>
    <w:rsid w:val="0026316C"/>
    <w:rsid w:val="00263AA5"/>
    <w:rsid w:val="00264C87"/>
    <w:rsid w:val="00264E4B"/>
    <w:rsid w:val="002658F2"/>
    <w:rsid w:val="00265D97"/>
    <w:rsid w:val="00266237"/>
    <w:rsid w:val="002701FC"/>
    <w:rsid w:val="00270ED3"/>
    <w:rsid w:val="00272384"/>
    <w:rsid w:val="00272B3E"/>
    <w:rsid w:val="002736F6"/>
    <w:rsid w:val="002737FE"/>
    <w:rsid w:val="00273955"/>
    <w:rsid w:val="00273A2D"/>
    <w:rsid w:val="002749BA"/>
    <w:rsid w:val="00274A2B"/>
    <w:rsid w:val="00275146"/>
    <w:rsid w:val="00275D39"/>
    <w:rsid w:val="00276578"/>
    <w:rsid w:val="002768E7"/>
    <w:rsid w:val="00277B2E"/>
    <w:rsid w:val="002807DF"/>
    <w:rsid w:val="00280D38"/>
    <w:rsid w:val="002812E2"/>
    <w:rsid w:val="00281445"/>
    <w:rsid w:val="002821A9"/>
    <w:rsid w:val="00282383"/>
    <w:rsid w:val="00282546"/>
    <w:rsid w:val="0028268F"/>
    <w:rsid w:val="002828BB"/>
    <w:rsid w:val="002829A2"/>
    <w:rsid w:val="00282B24"/>
    <w:rsid w:val="00282CA5"/>
    <w:rsid w:val="00282D43"/>
    <w:rsid w:val="00283D6E"/>
    <w:rsid w:val="002842AC"/>
    <w:rsid w:val="002846BA"/>
    <w:rsid w:val="0028567E"/>
    <w:rsid w:val="00285716"/>
    <w:rsid w:val="00285BEE"/>
    <w:rsid w:val="002869BE"/>
    <w:rsid w:val="00287CC0"/>
    <w:rsid w:val="00287FFE"/>
    <w:rsid w:val="00290138"/>
    <w:rsid w:val="002901DE"/>
    <w:rsid w:val="00290336"/>
    <w:rsid w:val="002908CD"/>
    <w:rsid w:val="00290E4A"/>
    <w:rsid w:val="00291036"/>
    <w:rsid w:val="002910AF"/>
    <w:rsid w:val="002917E7"/>
    <w:rsid w:val="002920E0"/>
    <w:rsid w:val="00292971"/>
    <w:rsid w:val="00293044"/>
    <w:rsid w:val="002937F8"/>
    <w:rsid w:val="00293907"/>
    <w:rsid w:val="00294619"/>
    <w:rsid w:val="0029533F"/>
    <w:rsid w:val="0029658E"/>
    <w:rsid w:val="00296812"/>
    <w:rsid w:val="0029726A"/>
    <w:rsid w:val="00297400"/>
    <w:rsid w:val="00297ADC"/>
    <w:rsid w:val="00297D53"/>
    <w:rsid w:val="002A1285"/>
    <w:rsid w:val="002A15C0"/>
    <w:rsid w:val="002A17F6"/>
    <w:rsid w:val="002A2268"/>
    <w:rsid w:val="002A23EA"/>
    <w:rsid w:val="002A2DDD"/>
    <w:rsid w:val="002A341D"/>
    <w:rsid w:val="002A3E9E"/>
    <w:rsid w:val="002A475C"/>
    <w:rsid w:val="002A5547"/>
    <w:rsid w:val="002A5858"/>
    <w:rsid w:val="002A58F7"/>
    <w:rsid w:val="002A5EFD"/>
    <w:rsid w:val="002A5F0C"/>
    <w:rsid w:val="002A6C5A"/>
    <w:rsid w:val="002A6F31"/>
    <w:rsid w:val="002A7424"/>
    <w:rsid w:val="002A7D30"/>
    <w:rsid w:val="002A7DC3"/>
    <w:rsid w:val="002A7DC5"/>
    <w:rsid w:val="002B0557"/>
    <w:rsid w:val="002B0699"/>
    <w:rsid w:val="002B1E5B"/>
    <w:rsid w:val="002B21A5"/>
    <w:rsid w:val="002B28FC"/>
    <w:rsid w:val="002B2CD5"/>
    <w:rsid w:val="002B30AF"/>
    <w:rsid w:val="002B3195"/>
    <w:rsid w:val="002B3737"/>
    <w:rsid w:val="002B54A5"/>
    <w:rsid w:val="002B54BA"/>
    <w:rsid w:val="002B5B74"/>
    <w:rsid w:val="002B5CB0"/>
    <w:rsid w:val="002B5FD5"/>
    <w:rsid w:val="002B629F"/>
    <w:rsid w:val="002C00C9"/>
    <w:rsid w:val="002C0176"/>
    <w:rsid w:val="002C021D"/>
    <w:rsid w:val="002C0B49"/>
    <w:rsid w:val="002C1309"/>
    <w:rsid w:val="002C1EFB"/>
    <w:rsid w:val="002C22B4"/>
    <w:rsid w:val="002C3F77"/>
    <w:rsid w:val="002C4228"/>
    <w:rsid w:val="002C4602"/>
    <w:rsid w:val="002C522E"/>
    <w:rsid w:val="002C6869"/>
    <w:rsid w:val="002C6993"/>
    <w:rsid w:val="002C7CE6"/>
    <w:rsid w:val="002C7DB2"/>
    <w:rsid w:val="002C7E48"/>
    <w:rsid w:val="002D138A"/>
    <w:rsid w:val="002D180D"/>
    <w:rsid w:val="002D18BB"/>
    <w:rsid w:val="002D18FB"/>
    <w:rsid w:val="002D1A3C"/>
    <w:rsid w:val="002D205B"/>
    <w:rsid w:val="002D21CB"/>
    <w:rsid w:val="002D2421"/>
    <w:rsid w:val="002D3054"/>
    <w:rsid w:val="002D3C18"/>
    <w:rsid w:val="002D3D0D"/>
    <w:rsid w:val="002D3E21"/>
    <w:rsid w:val="002D3F76"/>
    <w:rsid w:val="002D482E"/>
    <w:rsid w:val="002D48A3"/>
    <w:rsid w:val="002D513F"/>
    <w:rsid w:val="002D6F25"/>
    <w:rsid w:val="002D7C8C"/>
    <w:rsid w:val="002D7D72"/>
    <w:rsid w:val="002E00E5"/>
    <w:rsid w:val="002E0314"/>
    <w:rsid w:val="002E047B"/>
    <w:rsid w:val="002E04CC"/>
    <w:rsid w:val="002E0A8E"/>
    <w:rsid w:val="002E0DA9"/>
    <w:rsid w:val="002E10DF"/>
    <w:rsid w:val="002E14CB"/>
    <w:rsid w:val="002E175E"/>
    <w:rsid w:val="002E1AE3"/>
    <w:rsid w:val="002E3004"/>
    <w:rsid w:val="002E33B4"/>
    <w:rsid w:val="002E3839"/>
    <w:rsid w:val="002E4012"/>
    <w:rsid w:val="002E41B1"/>
    <w:rsid w:val="002E4AFC"/>
    <w:rsid w:val="002E5494"/>
    <w:rsid w:val="002E5D86"/>
    <w:rsid w:val="002E6B0E"/>
    <w:rsid w:val="002E7130"/>
    <w:rsid w:val="002E749C"/>
    <w:rsid w:val="002E7FA2"/>
    <w:rsid w:val="002F0074"/>
    <w:rsid w:val="002F07CD"/>
    <w:rsid w:val="002F2973"/>
    <w:rsid w:val="002F36A9"/>
    <w:rsid w:val="002F38EE"/>
    <w:rsid w:val="002F45BD"/>
    <w:rsid w:val="002F4DCC"/>
    <w:rsid w:val="002F53E4"/>
    <w:rsid w:val="002F5FAA"/>
    <w:rsid w:val="002F63CF"/>
    <w:rsid w:val="002F656E"/>
    <w:rsid w:val="002F6926"/>
    <w:rsid w:val="002F6A08"/>
    <w:rsid w:val="002F6A37"/>
    <w:rsid w:val="002F6F4B"/>
    <w:rsid w:val="002F710E"/>
    <w:rsid w:val="0030089C"/>
    <w:rsid w:val="003010E5"/>
    <w:rsid w:val="00302108"/>
    <w:rsid w:val="00302AA5"/>
    <w:rsid w:val="00302FF9"/>
    <w:rsid w:val="00303200"/>
    <w:rsid w:val="003034B9"/>
    <w:rsid w:val="00304D8D"/>
    <w:rsid w:val="0030635D"/>
    <w:rsid w:val="003064FF"/>
    <w:rsid w:val="00306505"/>
    <w:rsid w:val="00306A30"/>
    <w:rsid w:val="00306BE8"/>
    <w:rsid w:val="00306DC3"/>
    <w:rsid w:val="00306DEE"/>
    <w:rsid w:val="00306E7A"/>
    <w:rsid w:val="0031036E"/>
    <w:rsid w:val="00310A20"/>
    <w:rsid w:val="00310BAC"/>
    <w:rsid w:val="00310C40"/>
    <w:rsid w:val="00311AA0"/>
    <w:rsid w:val="003126BA"/>
    <w:rsid w:val="00312F11"/>
    <w:rsid w:val="003131EA"/>
    <w:rsid w:val="003137B2"/>
    <w:rsid w:val="00313BA2"/>
    <w:rsid w:val="00313F73"/>
    <w:rsid w:val="00314132"/>
    <w:rsid w:val="00314601"/>
    <w:rsid w:val="00314688"/>
    <w:rsid w:val="003146D7"/>
    <w:rsid w:val="00315261"/>
    <w:rsid w:val="003153AE"/>
    <w:rsid w:val="003153C8"/>
    <w:rsid w:val="003153DD"/>
    <w:rsid w:val="0031580F"/>
    <w:rsid w:val="00315AC2"/>
    <w:rsid w:val="00315E59"/>
    <w:rsid w:val="0031641B"/>
    <w:rsid w:val="003168ED"/>
    <w:rsid w:val="00316BED"/>
    <w:rsid w:val="003174AA"/>
    <w:rsid w:val="00317DA6"/>
    <w:rsid w:val="00321249"/>
    <w:rsid w:val="0032182B"/>
    <w:rsid w:val="00322706"/>
    <w:rsid w:val="003249F9"/>
    <w:rsid w:val="00324A5B"/>
    <w:rsid w:val="003254F9"/>
    <w:rsid w:val="0032697B"/>
    <w:rsid w:val="00326AC9"/>
    <w:rsid w:val="00326B81"/>
    <w:rsid w:val="00326CA8"/>
    <w:rsid w:val="00326FE3"/>
    <w:rsid w:val="003277A8"/>
    <w:rsid w:val="00327A43"/>
    <w:rsid w:val="00327B1D"/>
    <w:rsid w:val="00327DEF"/>
    <w:rsid w:val="00327FF3"/>
    <w:rsid w:val="0033094E"/>
    <w:rsid w:val="00330DAA"/>
    <w:rsid w:val="0033108D"/>
    <w:rsid w:val="00332825"/>
    <w:rsid w:val="00332CA0"/>
    <w:rsid w:val="0033344A"/>
    <w:rsid w:val="00333648"/>
    <w:rsid w:val="003340CB"/>
    <w:rsid w:val="003341E8"/>
    <w:rsid w:val="003346AC"/>
    <w:rsid w:val="003351D5"/>
    <w:rsid w:val="00335BDD"/>
    <w:rsid w:val="00336162"/>
    <w:rsid w:val="003365D1"/>
    <w:rsid w:val="00337A46"/>
    <w:rsid w:val="003420B2"/>
    <w:rsid w:val="003423E3"/>
    <w:rsid w:val="003428E3"/>
    <w:rsid w:val="003433D8"/>
    <w:rsid w:val="00343E58"/>
    <w:rsid w:val="003444D5"/>
    <w:rsid w:val="0034477A"/>
    <w:rsid w:val="00344956"/>
    <w:rsid w:val="00345C0A"/>
    <w:rsid w:val="0034658A"/>
    <w:rsid w:val="00346A7E"/>
    <w:rsid w:val="00346F9F"/>
    <w:rsid w:val="00347298"/>
    <w:rsid w:val="003509A0"/>
    <w:rsid w:val="00350B7B"/>
    <w:rsid w:val="00350C3B"/>
    <w:rsid w:val="003512C7"/>
    <w:rsid w:val="003512CB"/>
    <w:rsid w:val="00351688"/>
    <w:rsid w:val="0035335B"/>
    <w:rsid w:val="0035375B"/>
    <w:rsid w:val="00353D52"/>
    <w:rsid w:val="00353E2F"/>
    <w:rsid w:val="003547E5"/>
    <w:rsid w:val="0035520D"/>
    <w:rsid w:val="003566F4"/>
    <w:rsid w:val="00356AB8"/>
    <w:rsid w:val="0035759A"/>
    <w:rsid w:val="00357EE2"/>
    <w:rsid w:val="003602B0"/>
    <w:rsid w:val="0036032D"/>
    <w:rsid w:val="003603D5"/>
    <w:rsid w:val="003606A7"/>
    <w:rsid w:val="00361692"/>
    <w:rsid w:val="003617A8"/>
    <w:rsid w:val="00361A7D"/>
    <w:rsid w:val="00362E2D"/>
    <w:rsid w:val="0036308C"/>
    <w:rsid w:val="0036373D"/>
    <w:rsid w:val="0036519D"/>
    <w:rsid w:val="00365A7A"/>
    <w:rsid w:val="003672C0"/>
    <w:rsid w:val="00367CAD"/>
    <w:rsid w:val="00370199"/>
    <w:rsid w:val="003712F1"/>
    <w:rsid w:val="00371E68"/>
    <w:rsid w:val="003723B6"/>
    <w:rsid w:val="0037281E"/>
    <w:rsid w:val="00373B3C"/>
    <w:rsid w:val="00373C14"/>
    <w:rsid w:val="003748BF"/>
    <w:rsid w:val="0037680C"/>
    <w:rsid w:val="00376EB9"/>
    <w:rsid w:val="00380056"/>
    <w:rsid w:val="00382269"/>
    <w:rsid w:val="003823A4"/>
    <w:rsid w:val="003825D1"/>
    <w:rsid w:val="00383541"/>
    <w:rsid w:val="003836E7"/>
    <w:rsid w:val="00383959"/>
    <w:rsid w:val="00384C36"/>
    <w:rsid w:val="0038556B"/>
    <w:rsid w:val="00385C13"/>
    <w:rsid w:val="0038603B"/>
    <w:rsid w:val="003860A4"/>
    <w:rsid w:val="003860AA"/>
    <w:rsid w:val="00386277"/>
    <w:rsid w:val="00386A5C"/>
    <w:rsid w:val="00387321"/>
    <w:rsid w:val="003908E2"/>
    <w:rsid w:val="003912E4"/>
    <w:rsid w:val="003922C8"/>
    <w:rsid w:val="00392795"/>
    <w:rsid w:val="00392DCC"/>
    <w:rsid w:val="00392F33"/>
    <w:rsid w:val="003931DB"/>
    <w:rsid w:val="00393CED"/>
    <w:rsid w:val="00394545"/>
    <w:rsid w:val="00394EDF"/>
    <w:rsid w:val="00395920"/>
    <w:rsid w:val="0039618D"/>
    <w:rsid w:val="0039672D"/>
    <w:rsid w:val="003968D0"/>
    <w:rsid w:val="003976BF"/>
    <w:rsid w:val="003A198A"/>
    <w:rsid w:val="003A1CE5"/>
    <w:rsid w:val="003A22A9"/>
    <w:rsid w:val="003A2750"/>
    <w:rsid w:val="003A2835"/>
    <w:rsid w:val="003A2C1B"/>
    <w:rsid w:val="003A41AB"/>
    <w:rsid w:val="003A4454"/>
    <w:rsid w:val="003A5456"/>
    <w:rsid w:val="003A58A0"/>
    <w:rsid w:val="003A5CA7"/>
    <w:rsid w:val="003A682D"/>
    <w:rsid w:val="003A6C35"/>
    <w:rsid w:val="003A6C74"/>
    <w:rsid w:val="003A71C3"/>
    <w:rsid w:val="003A723E"/>
    <w:rsid w:val="003A7BA8"/>
    <w:rsid w:val="003B021F"/>
    <w:rsid w:val="003B0774"/>
    <w:rsid w:val="003B0893"/>
    <w:rsid w:val="003B10B0"/>
    <w:rsid w:val="003B1DBF"/>
    <w:rsid w:val="003B286B"/>
    <w:rsid w:val="003B3643"/>
    <w:rsid w:val="003B3694"/>
    <w:rsid w:val="003B371A"/>
    <w:rsid w:val="003B3CA4"/>
    <w:rsid w:val="003B3DFE"/>
    <w:rsid w:val="003B447B"/>
    <w:rsid w:val="003B5A71"/>
    <w:rsid w:val="003B651A"/>
    <w:rsid w:val="003B66AD"/>
    <w:rsid w:val="003B66EB"/>
    <w:rsid w:val="003B7088"/>
    <w:rsid w:val="003B79A3"/>
    <w:rsid w:val="003C073C"/>
    <w:rsid w:val="003C0FCD"/>
    <w:rsid w:val="003C13A5"/>
    <w:rsid w:val="003C1461"/>
    <w:rsid w:val="003C2317"/>
    <w:rsid w:val="003C2C61"/>
    <w:rsid w:val="003C3000"/>
    <w:rsid w:val="003C3A21"/>
    <w:rsid w:val="003C3FD8"/>
    <w:rsid w:val="003C516F"/>
    <w:rsid w:val="003C51BB"/>
    <w:rsid w:val="003C56BE"/>
    <w:rsid w:val="003C58D3"/>
    <w:rsid w:val="003C5CF2"/>
    <w:rsid w:val="003C6336"/>
    <w:rsid w:val="003C6342"/>
    <w:rsid w:val="003C71A1"/>
    <w:rsid w:val="003C7643"/>
    <w:rsid w:val="003C77F2"/>
    <w:rsid w:val="003C77F5"/>
    <w:rsid w:val="003D025E"/>
    <w:rsid w:val="003D0B12"/>
    <w:rsid w:val="003D1EFE"/>
    <w:rsid w:val="003D503D"/>
    <w:rsid w:val="003D5691"/>
    <w:rsid w:val="003D56E9"/>
    <w:rsid w:val="003D631D"/>
    <w:rsid w:val="003D6BC8"/>
    <w:rsid w:val="003D71C5"/>
    <w:rsid w:val="003D7691"/>
    <w:rsid w:val="003D7C6B"/>
    <w:rsid w:val="003E13D4"/>
    <w:rsid w:val="003E2D30"/>
    <w:rsid w:val="003E2E7F"/>
    <w:rsid w:val="003E2FF0"/>
    <w:rsid w:val="003E3198"/>
    <w:rsid w:val="003E3A2C"/>
    <w:rsid w:val="003E3EDE"/>
    <w:rsid w:val="003E3EE7"/>
    <w:rsid w:val="003E4698"/>
    <w:rsid w:val="003E4B68"/>
    <w:rsid w:val="003E4E5F"/>
    <w:rsid w:val="003E5466"/>
    <w:rsid w:val="003E549D"/>
    <w:rsid w:val="003E5E76"/>
    <w:rsid w:val="003E63F3"/>
    <w:rsid w:val="003E66AF"/>
    <w:rsid w:val="003E6956"/>
    <w:rsid w:val="003E6C89"/>
    <w:rsid w:val="003E7175"/>
    <w:rsid w:val="003E7308"/>
    <w:rsid w:val="003E7EB4"/>
    <w:rsid w:val="003F0125"/>
    <w:rsid w:val="003F09DB"/>
    <w:rsid w:val="003F0A07"/>
    <w:rsid w:val="003F10B9"/>
    <w:rsid w:val="003F11F6"/>
    <w:rsid w:val="003F1719"/>
    <w:rsid w:val="003F1ADF"/>
    <w:rsid w:val="003F1DF0"/>
    <w:rsid w:val="003F1EF2"/>
    <w:rsid w:val="003F246A"/>
    <w:rsid w:val="003F399D"/>
    <w:rsid w:val="003F3A5F"/>
    <w:rsid w:val="003F3CF0"/>
    <w:rsid w:val="003F3D6F"/>
    <w:rsid w:val="003F3F02"/>
    <w:rsid w:val="003F4495"/>
    <w:rsid w:val="003F49E5"/>
    <w:rsid w:val="003F5667"/>
    <w:rsid w:val="003F5AEF"/>
    <w:rsid w:val="003F5B3A"/>
    <w:rsid w:val="003F78EE"/>
    <w:rsid w:val="003F7CCA"/>
    <w:rsid w:val="0040059B"/>
    <w:rsid w:val="00400D33"/>
    <w:rsid w:val="004017D8"/>
    <w:rsid w:val="00402725"/>
    <w:rsid w:val="0040373B"/>
    <w:rsid w:val="00403FC8"/>
    <w:rsid w:val="0040478C"/>
    <w:rsid w:val="00404C27"/>
    <w:rsid w:val="00404F88"/>
    <w:rsid w:val="00405476"/>
    <w:rsid w:val="004068BB"/>
    <w:rsid w:val="0040727C"/>
    <w:rsid w:val="00407775"/>
    <w:rsid w:val="004114EE"/>
    <w:rsid w:val="00412502"/>
    <w:rsid w:val="00413278"/>
    <w:rsid w:val="004135D1"/>
    <w:rsid w:val="00414302"/>
    <w:rsid w:val="004143EB"/>
    <w:rsid w:val="0041480C"/>
    <w:rsid w:val="00415468"/>
    <w:rsid w:val="0041598E"/>
    <w:rsid w:val="004166A0"/>
    <w:rsid w:val="00416BE0"/>
    <w:rsid w:val="00416C81"/>
    <w:rsid w:val="00417B69"/>
    <w:rsid w:val="00420C2A"/>
    <w:rsid w:val="00420C3D"/>
    <w:rsid w:val="00421BB1"/>
    <w:rsid w:val="00421E0C"/>
    <w:rsid w:val="00422468"/>
    <w:rsid w:val="00423E7B"/>
    <w:rsid w:val="0042401F"/>
    <w:rsid w:val="0042497B"/>
    <w:rsid w:val="004256AC"/>
    <w:rsid w:val="004258FF"/>
    <w:rsid w:val="004262DE"/>
    <w:rsid w:val="0042648E"/>
    <w:rsid w:val="004268CC"/>
    <w:rsid w:val="00426900"/>
    <w:rsid w:val="004277EB"/>
    <w:rsid w:val="00427A66"/>
    <w:rsid w:val="00431886"/>
    <w:rsid w:val="00432EAA"/>
    <w:rsid w:val="004345C5"/>
    <w:rsid w:val="004348D8"/>
    <w:rsid w:val="00434A6E"/>
    <w:rsid w:val="00434E8A"/>
    <w:rsid w:val="0043630A"/>
    <w:rsid w:val="00436528"/>
    <w:rsid w:val="00437282"/>
    <w:rsid w:val="00437F87"/>
    <w:rsid w:val="00440369"/>
    <w:rsid w:val="0044098A"/>
    <w:rsid w:val="00441559"/>
    <w:rsid w:val="004426C4"/>
    <w:rsid w:val="00442C69"/>
    <w:rsid w:val="00442D3F"/>
    <w:rsid w:val="00442DB6"/>
    <w:rsid w:val="00443731"/>
    <w:rsid w:val="00444135"/>
    <w:rsid w:val="00444A9D"/>
    <w:rsid w:val="00445851"/>
    <w:rsid w:val="00446D28"/>
    <w:rsid w:val="00446DBC"/>
    <w:rsid w:val="00447664"/>
    <w:rsid w:val="0045008F"/>
    <w:rsid w:val="00450859"/>
    <w:rsid w:val="00450884"/>
    <w:rsid w:val="00450A86"/>
    <w:rsid w:val="00451906"/>
    <w:rsid w:val="00451A88"/>
    <w:rsid w:val="00451C0D"/>
    <w:rsid w:val="00451C12"/>
    <w:rsid w:val="00451FEB"/>
    <w:rsid w:val="004523C5"/>
    <w:rsid w:val="00452558"/>
    <w:rsid w:val="00452852"/>
    <w:rsid w:val="004529E2"/>
    <w:rsid w:val="0045308E"/>
    <w:rsid w:val="004533FD"/>
    <w:rsid w:val="004537B0"/>
    <w:rsid w:val="004541BB"/>
    <w:rsid w:val="004541D0"/>
    <w:rsid w:val="00454696"/>
    <w:rsid w:val="00454EDC"/>
    <w:rsid w:val="00454F4D"/>
    <w:rsid w:val="00455065"/>
    <w:rsid w:val="004556F5"/>
    <w:rsid w:val="00455A39"/>
    <w:rsid w:val="004575C8"/>
    <w:rsid w:val="0045765B"/>
    <w:rsid w:val="00457AB0"/>
    <w:rsid w:val="00460094"/>
    <w:rsid w:val="004604BE"/>
    <w:rsid w:val="004608A6"/>
    <w:rsid w:val="0046150A"/>
    <w:rsid w:val="00461AFA"/>
    <w:rsid w:val="00461F5D"/>
    <w:rsid w:val="00462922"/>
    <w:rsid w:val="00462CBD"/>
    <w:rsid w:val="004633B9"/>
    <w:rsid w:val="004642EE"/>
    <w:rsid w:val="00464A7E"/>
    <w:rsid w:val="00464E95"/>
    <w:rsid w:val="00464EFA"/>
    <w:rsid w:val="00464FE4"/>
    <w:rsid w:val="0046596A"/>
    <w:rsid w:val="00465D19"/>
    <w:rsid w:val="004661AA"/>
    <w:rsid w:val="004667EB"/>
    <w:rsid w:val="004675AF"/>
    <w:rsid w:val="004676E4"/>
    <w:rsid w:val="00467EB2"/>
    <w:rsid w:val="0047019F"/>
    <w:rsid w:val="0047155B"/>
    <w:rsid w:val="004717F8"/>
    <w:rsid w:val="004726AB"/>
    <w:rsid w:val="00472E5A"/>
    <w:rsid w:val="004733D7"/>
    <w:rsid w:val="00473B89"/>
    <w:rsid w:val="00473E21"/>
    <w:rsid w:val="00474B16"/>
    <w:rsid w:val="00474C7E"/>
    <w:rsid w:val="004750F1"/>
    <w:rsid w:val="00476055"/>
    <w:rsid w:val="00476806"/>
    <w:rsid w:val="00476980"/>
    <w:rsid w:val="00476C24"/>
    <w:rsid w:val="00476D48"/>
    <w:rsid w:val="00476FB0"/>
    <w:rsid w:val="004772E0"/>
    <w:rsid w:val="00477604"/>
    <w:rsid w:val="00477E8C"/>
    <w:rsid w:val="00481334"/>
    <w:rsid w:val="00481EDC"/>
    <w:rsid w:val="0048244A"/>
    <w:rsid w:val="0048283E"/>
    <w:rsid w:val="00483546"/>
    <w:rsid w:val="004837EC"/>
    <w:rsid w:val="0048427F"/>
    <w:rsid w:val="0048445D"/>
    <w:rsid w:val="00485377"/>
    <w:rsid w:val="00486552"/>
    <w:rsid w:val="004867F4"/>
    <w:rsid w:val="00486A8A"/>
    <w:rsid w:val="00487675"/>
    <w:rsid w:val="00487A3F"/>
    <w:rsid w:val="00490A16"/>
    <w:rsid w:val="00490E76"/>
    <w:rsid w:val="00491635"/>
    <w:rsid w:val="00491C7B"/>
    <w:rsid w:val="0049286D"/>
    <w:rsid w:val="004928D2"/>
    <w:rsid w:val="00492CCF"/>
    <w:rsid w:val="004936D2"/>
    <w:rsid w:val="00493A9F"/>
    <w:rsid w:val="00493B95"/>
    <w:rsid w:val="00494572"/>
    <w:rsid w:val="004949BE"/>
    <w:rsid w:val="00494DEA"/>
    <w:rsid w:val="004957C2"/>
    <w:rsid w:val="00495B5C"/>
    <w:rsid w:val="00495F22"/>
    <w:rsid w:val="004963D6"/>
    <w:rsid w:val="00496D28"/>
    <w:rsid w:val="00496EEF"/>
    <w:rsid w:val="0049708A"/>
    <w:rsid w:val="00497128"/>
    <w:rsid w:val="00497995"/>
    <w:rsid w:val="00497AF2"/>
    <w:rsid w:val="004A0521"/>
    <w:rsid w:val="004A08A4"/>
    <w:rsid w:val="004A0FE1"/>
    <w:rsid w:val="004A1DE8"/>
    <w:rsid w:val="004A221D"/>
    <w:rsid w:val="004A2931"/>
    <w:rsid w:val="004A3196"/>
    <w:rsid w:val="004A31D1"/>
    <w:rsid w:val="004A4B47"/>
    <w:rsid w:val="004A4D1A"/>
    <w:rsid w:val="004A60F3"/>
    <w:rsid w:val="004A769C"/>
    <w:rsid w:val="004A7C28"/>
    <w:rsid w:val="004B022A"/>
    <w:rsid w:val="004B077C"/>
    <w:rsid w:val="004B2D6C"/>
    <w:rsid w:val="004B32B2"/>
    <w:rsid w:val="004B32D4"/>
    <w:rsid w:val="004B32F1"/>
    <w:rsid w:val="004B34B8"/>
    <w:rsid w:val="004B368A"/>
    <w:rsid w:val="004B3B2A"/>
    <w:rsid w:val="004B4F88"/>
    <w:rsid w:val="004B5074"/>
    <w:rsid w:val="004B53B1"/>
    <w:rsid w:val="004B5F52"/>
    <w:rsid w:val="004B66B2"/>
    <w:rsid w:val="004B6AB0"/>
    <w:rsid w:val="004B71CF"/>
    <w:rsid w:val="004C1094"/>
    <w:rsid w:val="004C1296"/>
    <w:rsid w:val="004C13E3"/>
    <w:rsid w:val="004C15F1"/>
    <w:rsid w:val="004C1D0A"/>
    <w:rsid w:val="004C1ED4"/>
    <w:rsid w:val="004C1FAD"/>
    <w:rsid w:val="004C2F50"/>
    <w:rsid w:val="004C39CD"/>
    <w:rsid w:val="004C3B49"/>
    <w:rsid w:val="004C4464"/>
    <w:rsid w:val="004C4470"/>
    <w:rsid w:val="004C44FF"/>
    <w:rsid w:val="004C481B"/>
    <w:rsid w:val="004C5540"/>
    <w:rsid w:val="004C55A0"/>
    <w:rsid w:val="004C5631"/>
    <w:rsid w:val="004C5644"/>
    <w:rsid w:val="004C59E7"/>
    <w:rsid w:val="004C6241"/>
    <w:rsid w:val="004C64C0"/>
    <w:rsid w:val="004C6913"/>
    <w:rsid w:val="004C6E1A"/>
    <w:rsid w:val="004C705A"/>
    <w:rsid w:val="004C738F"/>
    <w:rsid w:val="004C7F9D"/>
    <w:rsid w:val="004D00C6"/>
    <w:rsid w:val="004D0464"/>
    <w:rsid w:val="004D056E"/>
    <w:rsid w:val="004D06FE"/>
    <w:rsid w:val="004D0840"/>
    <w:rsid w:val="004D13F9"/>
    <w:rsid w:val="004D1535"/>
    <w:rsid w:val="004D18A3"/>
    <w:rsid w:val="004D3034"/>
    <w:rsid w:val="004D32D3"/>
    <w:rsid w:val="004D38DC"/>
    <w:rsid w:val="004D3B85"/>
    <w:rsid w:val="004D3F29"/>
    <w:rsid w:val="004D40F0"/>
    <w:rsid w:val="004D422E"/>
    <w:rsid w:val="004D4326"/>
    <w:rsid w:val="004D4DED"/>
    <w:rsid w:val="004D4EA7"/>
    <w:rsid w:val="004D6506"/>
    <w:rsid w:val="004D6E59"/>
    <w:rsid w:val="004E0187"/>
    <w:rsid w:val="004E0C89"/>
    <w:rsid w:val="004E0D06"/>
    <w:rsid w:val="004E11CF"/>
    <w:rsid w:val="004E18EB"/>
    <w:rsid w:val="004E2012"/>
    <w:rsid w:val="004E3168"/>
    <w:rsid w:val="004E31D7"/>
    <w:rsid w:val="004E3B89"/>
    <w:rsid w:val="004E3B94"/>
    <w:rsid w:val="004E4252"/>
    <w:rsid w:val="004E4754"/>
    <w:rsid w:val="004E5049"/>
    <w:rsid w:val="004E7828"/>
    <w:rsid w:val="004F0130"/>
    <w:rsid w:val="004F0496"/>
    <w:rsid w:val="004F131B"/>
    <w:rsid w:val="004F157A"/>
    <w:rsid w:val="004F1A97"/>
    <w:rsid w:val="004F1C59"/>
    <w:rsid w:val="004F2385"/>
    <w:rsid w:val="004F2AE7"/>
    <w:rsid w:val="004F48DB"/>
    <w:rsid w:val="004F4DAB"/>
    <w:rsid w:val="004F4E23"/>
    <w:rsid w:val="004F4EA7"/>
    <w:rsid w:val="004F4F20"/>
    <w:rsid w:val="004F56BB"/>
    <w:rsid w:val="004F5822"/>
    <w:rsid w:val="004F5897"/>
    <w:rsid w:val="004F68A3"/>
    <w:rsid w:val="004F7F83"/>
    <w:rsid w:val="00500D2B"/>
    <w:rsid w:val="00501213"/>
    <w:rsid w:val="00501254"/>
    <w:rsid w:val="00501A6C"/>
    <w:rsid w:val="005023B1"/>
    <w:rsid w:val="00502790"/>
    <w:rsid w:val="0050298C"/>
    <w:rsid w:val="00502DE6"/>
    <w:rsid w:val="00503506"/>
    <w:rsid w:val="005043A8"/>
    <w:rsid w:val="005044B5"/>
    <w:rsid w:val="00504D75"/>
    <w:rsid w:val="005059F0"/>
    <w:rsid w:val="00505D3B"/>
    <w:rsid w:val="00506052"/>
    <w:rsid w:val="00506911"/>
    <w:rsid w:val="005073FF"/>
    <w:rsid w:val="00507989"/>
    <w:rsid w:val="00507E0C"/>
    <w:rsid w:val="005123E4"/>
    <w:rsid w:val="0051348A"/>
    <w:rsid w:val="00514970"/>
    <w:rsid w:val="00514986"/>
    <w:rsid w:val="00514ABE"/>
    <w:rsid w:val="00514AC9"/>
    <w:rsid w:val="0051516C"/>
    <w:rsid w:val="0051556D"/>
    <w:rsid w:val="00516113"/>
    <w:rsid w:val="00516691"/>
    <w:rsid w:val="005167C1"/>
    <w:rsid w:val="00516A6A"/>
    <w:rsid w:val="00516DF1"/>
    <w:rsid w:val="00516E2B"/>
    <w:rsid w:val="00517D58"/>
    <w:rsid w:val="005202C9"/>
    <w:rsid w:val="00520BD4"/>
    <w:rsid w:val="00520DE4"/>
    <w:rsid w:val="00520E19"/>
    <w:rsid w:val="0052150D"/>
    <w:rsid w:val="00521A23"/>
    <w:rsid w:val="00521CFE"/>
    <w:rsid w:val="0052234C"/>
    <w:rsid w:val="005224AE"/>
    <w:rsid w:val="005231BD"/>
    <w:rsid w:val="00523AA1"/>
    <w:rsid w:val="00523C13"/>
    <w:rsid w:val="0052464E"/>
    <w:rsid w:val="0052478A"/>
    <w:rsid w:val="00524961"/>
    <w:rsid w:val="00524A02"/>
    <w:rsid w:val="005250CF"/>
    <w:rsid w:val="00526067"/>
    <w:rsid w:val="00526304"/>
    <w:rsid w:val="00526445"/>
    <w:rsid w:val="005268C8"/>
    <w:rsid w:val="00526A80"/>
    <w:rsid w:val="00527684"/>
    <w:rsid w:val="00527AF8"/>
    <w:rsid w:val="0053014A"/>
    <w:rsid w:val="005304CA"/>
    <w:rsid w:val="00530CE2"/>
    <w:rsid w:val="005312D4"/>
    <w:rsid w:val="00531A7F"/>
    <w:rsid w:val="00533380"/>
    <w:rsid w:val="005338AD"/>
    <w:rsid w:val="005338EB"/>
    <w:rsid w:val="005338F4"/>
    <w:rsid w:val="005348EE"/>
    <w:rsid w:val="00535BA2"/>
    <w:rsid w:val="00535F25"/>
    <w:rsid w:val="00536944"/>
    <w:rsid w:val="00536A25"/>
    <w:rsid w:val="00536A51"/>
    <w:rsid w:val="00536FBF"/>
    <w:rsid w:val="005372C8"/>
    <w:rsid w:val="00537361"/>
    <w:rsid w:val="005373E4"/>
    <w:rsid w:val="00537660"/>
    <w:rsid w:val="00537CE0"/>
    <w:rsid w:val="005400D1"/>
    <w:rsid w:val="00540506"/>
    <w:rsid w:val="00540E49"/>
    <w:rsid w:val="00541200"/>
    <w:rsid w:val="005418D2"/>
    <w:rsid w:val="005419E3"/>
    <w:rsid w:val="00541FF1"/>
    <w:rsid w:val="00542272"/>
    <w:rsid w:val="00542427"/>
    <w:rsid w:val="00542CD7"/>
    <w:rsid w:val="00542EF8"/>
    <w:rsid w:val="00543C9E"/>
    <w:rsid w:val="00544DC2"/>
    <w:rsid w:val="00545EE2"/>
    <w:rsid w:val="00546B34"/>
    <w:rsid w:val="005470F4"/>
    <w:rsid w:val="00547660"/>
    <w:rsid w:val="005477B3"/>
    <w:rsid w:val="00547AFF"/>
    <w:rsid w:val="00547F1A"/>
    <w:rsid w:val="00550803"/>
    <w:rsid w:val="00551D23"/>
    <w:rsid w:val="005525D1"/>
    <w:rsid w:val="00552F5E"/>
    <w:rsid w:val="00553CF8"/>
    <w:rsid w:val="00554C33"/>
    <w:rsid w:val="00554EEE"/>
    <w:rsid w:val="005563C0"/>
    <w:rsid w:val="00556C78"/>
    <w:rsid w:val="0055730B"/>
    <w:rsid w:val="005577E9"/>
    <w:rsid w:val="00557AE8"/>
    <w:rsid w:val="00557D15"/>
    <w:rsid w:val="00557EC9"/>
    <w:rsid w:val="005600B3"/>
    <w:rsid w:val="0056284E"/>
    <w:rsid w:val="00562C91"/>
    <w:rsid w:val="00562FDE"/>
    <w:rsid w:val="0056354F"/>
    <w:rsid w:val="005638EA"/>
    <w:rsid w:val="0056395D"/>
    <w:rsid w:val="00564290"/>
    <w:rsid w:val="005646D9"/>
    <w:rsid w:val="0056540E"/>
    <w:rsid w:val="005654D9"/>
    <w:rsid w:val="005654E1"/>
    <w:rsid w:val="0056560C"/>
    <w:rsid w:val="00565DD8"/>
    <w:rsid w:val="0056601A"/>
    <w:rsid w:val="00566A6E"/>
    <w:rsid w:val="00566C6B"/>
    <w:rsid w:val="00566DB5"/>
    <w:rsid w:val="00566F1C"/>
    <w:rsid w:val="00567688"/>
    <w:rsid w:val="00567C2F"/>
    <w:rsid w:val="00567C66"/>
    <w:rsid w:val="00570209"/>
    <w:rsid w:val="00570914"/>
    <w:rsid w:val="00570A51"/>
    <w:rsid w:val="00570D39"/>
    <w:rsid w:val="0057157B"/>
    <w:rsid w:val="00571A7E"/>
    <w:rsid w:val="005724B2"/>
    <w:rsid w:val="00572A0B"/>
    <w:rsid w:val="00572A9C"/>
    <w:rsid w:val="00572DCE"/>
    <w:rsid w:val="005733F6"/>
    <w:rsid w:val="00574584"/>
    <w:rsid w:val="005745FF"/>
    <w:rsid w:val="00574B18"/>
    <w:rsid w:val="00574CED"/>
    <w:rsid w:val="00575041"/>
    <w:rsid w:val="0057549E"/>
    <w:rsid w:val="00575830"/>
    <w:rsid w:val="00576C62"/>
    <w:rsid w:val="00576E72"/>
    <w:rsid w:val="005776A6"/>
    <w:rsid w:val="00577D29"/>
    <w:rsid w:val="00577E66"/>
    <w:rsid w:val="005801C6"/>
    <w:rsid w:val="00580BE0"/>
    <w:rsid w:val="00580CE6"/>
    <w:rsid w:val="00581752"/>
    <w:rsid w:val="00582305"/>
    <w:rsid w:val="0058242D"/>
    <w:rsid w:val="005829D2"/>
    <w:rsid w:val="00582DC7"/>
    <w:rsid w:val="00583153"/>
    <w:rsid w:val="00583173"/>
    <w:rsid w:val="00583BC7"/>
    <w:rsid w:val="00583F2A"/>
    <w:rsid w:val="0058416D"/>
    <w:rsid w:val="00584439"/>
    <w:rsid w:val="0058504E"/>
    <w:rsid w:val="00585B56"/>
    <w:rsid w:val="00586055"/>
    <w:rsid w:val="00586986"/>
    <w:rsid w:val="00586BE2"/>
    <w:rsid w:val="0059078E"/>
    <w:rsid w:val="00590859"/>
    <w:rsid w:val="005909F6"/>
    <w:rsid w:val="00590F22"/>
    <w:rsid w:val="00591614"/>
    <w:rsid w:val="0059186B"/>
    <w:rsid w:val="005920EB"/>
    <w:rsid w:val="005921AB"/>
    <w:rsid w:val="00592E4E"/>
    <w:rsid w:val="005937FB"/>
    <w:rsid w:val="00593DE1"/>
    <w:rsid w:val="00593F16"/>
    <w:rsid w:val="0059536B"/>
    <w:rsid w:val="00595D90"/>
    <w:rsid w:val="0059646B"/>
    <w:rsid w:val="00596C9F"/>
    <w:rsid w:val="005970DE"/>
    <w:rsid w:val="0059712F"/>
    <w:rsid w:val="00597199"/>
    <w:rsid w:val="00597D93"/>
    <w:rsid w:val="00597EEF"/>
    <w:rsid w:val="005A0406"/>
    <w:rsid w:val="005A0A16"/>
    <w:rsid w:val="005A1E25"/>
    <w:rsid w:val="005A2095"/>
    <w:rsid w:val="005A248A"/>
    <w:rsid w:val="005A2548"/>
    <w:rsid w:val="005A2882"/>
    <w:rsid w:val="005A3046"/>
    <w:rsid w:val="005A34DF"/>
    <w:rsid w:val="005A3C17"/>
    <w:rsid w:val="005A3D82"/>
    <w:rsid w:val="005A3DE5"/>
    <w:rsid w:val="005A42D8"/>
    <w:rsid w:val="005A46A3"/>
    <w:rsid w:val="005A4EDE"/>
    <w:rsid w:val="005A5159"/>
    <w:rsid w:val="005A57EC"/>
    <w:rsid w:val="005A6169"/>
    <w:rsid w:val="005A61DE"/>
    <w:rsid w:val="005A6C02"/>
    <w:rsid w:val="005A700D"/>
    <w:rsid w:val="005A7289"/>
    <w:rsid w:val="005B0900"/>
    <w:rsid w:val="005B1EB6"/>
    <w:rsid w:val="005B2052"/>
    <w:rsid w:val="005B282E"/>
    <w:rsid w:val="005B2C5C"/>
    <w:rsid w:val="005B302F"/>
    <w:rsid w:val="005B3667"/>
    <w:rsid w:val="005B3D95"/>
    <w:rsid w:val="005B42A1"/>
    <w:rsid w:val="005B49D3"/>
    <w:rsid w:val="005B4EC3"/>
    <w:rsid w:val="005B5795"/>
    <w:rsid w:val="005B5900"/>
    <w:rsid w:val="005B6AF4"/>
    <w:rsid w:val="005B6BEE"/>
    <w:rsid w:val="005B748C"/>
    <w:rsid w:val="005B74DF"/>
    <w:rsid w:val="005B74FB"/>
    <w:rsid w:val="005B785A"/>
    <w:rsid w:val="005B7BD9"/>
    <w:rsid w:val="005C013B"/>
    <w:rsid w:val="005C0A65"/>
    <w:rsid w:val="005C0E69"/>
    <w:rsid w:val="005C1005"/>
    <w:rsid w:val="005C12BC"/>
    <w:rsid w:val="005C1BE2"/>
    <w:rsid w:val="005C1E78"/>
    <w:rsid w:val="005C1EC5"/>
    <w:rsid w:val="005C21EE"/>
    <w:rsid w:val="005C3242"/>
    <w:rsid w:val="005C4BD8"/>
    <w:rsid w:val="005C4FB5"/>
    <w:rsid w:val="005C5218"/>
    <w:rsid w:val="005C5DBC"/>
    <w:rsid w:val="005C5F41"/>
    <w:rsid w:val="005C5F8A"/>
    <w:rsid w:val="005C633E"/>
    <w:rsid w:val="005C6756"/>
    <w:rsid w:val="005C7145"/>
    <w:rsid w:val="005C79BB"/>
    <w:rsid w:val="005C7F98"/>
    <w:rsid w:val="005D0C7C"/>
    <w:rsid w:val="005D1E88"/>
    <w:rsid w:val="005D23F7"/>
    <w:rsid w:val="005D2726"/>
    <w:rsid w:val="005D2D19"/>
    <w:rsid w:val="005D2E9E"/>
    <w:rsid w:val="005D3613"/>
    <w:rsid w:val="005D39E8"/>
    <w:rsid w:val="005D3A5C"/>
    <w:rsid w:val="005D4F79"/>
    <w:rsid w:val="005D4F93"/>
    <w:rsid w:val="005D56B1"/>
    <w:rsid w:val="005D5B85"/>
    <w:rsid w:val="005D5EEF"/>
    <w:rsid w:val="005D62A4"/>
    <w:rsid w:val="005D747F"/>
    <w:rsid w:val="005D7C78"/>
    <w:rsid w:val="005E01B6"/>
    <w:rsid w:val="005E0338"/>
    <w:rsid w:val="005E15B3"/>
    <w:rsid w:val="005E16A1"/>
    <w:rsid w:val="005E1F4F"/>
    <w:rsid w:val="005E231C"/>
    <w:rsid w:val="005E2405"/>
    <w:rsid w:val="005E3BBB"/>
    <w:rsid w:val="005E3F83"/>
    <w:rsid w:val="005E43C3"/>
    <w:rsid w:val="005E51D7"/>
    <w:rsid w:val="005E528C"/>
    <w:rsid w:val="005E53C4"/>
    <w:rsid w:val="005E6128"/>
    <w:rsid w:val="005E636A"/>
    <w:rsid w:val="005E6502"/>
    <w:rsid w:val="005E7316"/>
    <w:rsid w:val="005E7383"/>
    <w:rsid w:val="005E7822"/>
    <w:rsid w:val="005F018C"/>
    <w:rsid w:val="005F0C76"/>
    <w:rsid w:val="005F1343"/>
    <w:rsid w:val="005F3CD9"/>
    <w:rsid w:val="005F3D5F"/>
    <w:rsid w:val="005F4414"/>
    <w:rsid w:val="005F44F0"/>
    <w:rsid w:val="005F4DC1"/>
    <w:rsid w:val="005F5296"/>
    <w:rsid w:val="005F5323"/>
    <w:rsid w:val="005F58CF"/>
    <w:rsid w:val="005F5C00"/>
    <w:rsid w:val="005F60F1"/>
    <w:rsid w:val="005F61B3"/>
    <w:rsid w:val="005F6633"/>
    <w:rsid w:val="005F6F53"/>
    <w:rsid w:val="005F70CD"/>
    <w:rsid w:val="005F7339"/>
    <w:rsid w:val="006000BA"/>
    <w:rsid w:val="00600CE5"/>
    <w:rsid w:val="00600D2C"/>
    <w:rsid w:val="00600D36"/>
    <w:rsid w:val="0060167B"/>
    <w:rsid w:val="00601CA3"/>
    <w:rsid w:val="0060260D"/>
    <w:rsid w:val="00604605"/>
    <w:rsid w:val="0060589C"/>
    <w:rsid w:val="00605F48"/>
    <w:rsid w:val="00606693"/>
    <w:rsid w:val="006067C4"/>
    <w:rsid w:val="006069CF"/>
    <w:rsid w:val="00606A37"/>
    <w:rsid w:val="0060704A"/>
    <w:rsid w:val="00610AD4"/>
    <w:rsid w:val="00610BED"/>
    <w:rsid w:val="00610C7E"/>
    <w:rsid w:val="0061133A"/>
    <w:rsid w:val="0061138F"/>
    <w:rsid w:val="00611399"/>
    <w:rsid w:val="0061154F"/>
    <w:rsid w:val="006116A0"/>
    <w:rsid w:val="00611F41"/>
    <w:rsid w:val="006120AB"/>
    <w:rsid w:val="00612443"/>
    <w:rsid w:val="00612EFB"/>
    <w:rsid w:val="0061317B"/>
    <w:rsid w:val="0061332B"/>
    <w:rsid w:val="00613345"/>
    <w:rsid w:val="00613783"/>
    <w:rsid w:val="006139C9"/>
    <w:rsid w:val="00614B9F"/>
    <w:rsid w:val="006155FC"/>
    <w:rsid w:val="0061783E"/>
    <w:rsid w:val="00620257"/>
    <w:rsid w:val="0062082D"/>
    <w:rsid w:val="00620E84"/>
    <w:rsid w:val="00622961"/>
    <w:rsid w:val="00622EB1"/>
    <w:rsid w:val="00623B81"/>
    <w:rsid w:val="0062424A"/>
    <w:rsid w:val="00625DEA"/>
    <w:rsid w:val="00625FEF"/>
    <w:rsid w:val="006265FE"/>
    <w:rsid w:val="00626A27"/>
    <w:rsid w:val="00626E11"/>
    <w:rsid w:val="00626F0F"/>
    <w:rsid w:val="0062746E"/>
    <w:rsid w:val="00627B7E"/>
    <w:rsid w:val="00627CB1"/>
    <w:rsid w:val="00627D79"/>
    <w:rsid w:val="006308F4"/>
    <w:rsid w:val="00631C18"/>
    <w:rsid w:val="0063201D"/>
    <w:rsid w:val="0063216D"/>
    <w:rsid w:val="00632642"/>
    <w:rsid w:val="006328BE"/>
    <w:rsid w:val="00632A5C"/>
    <w:rsid w:val="00632C18"/>
    <w:rsid w:val="00632EFF"/>
    <w:rsid w:val="00633587"/>
    <w:rsid w:val="00633653"/>
    <w:rsid w:val="00634195"/>
    <w:rsid w:val="006348E6"/>
    <w:rsid w:val="00634BCD"/>
    <w:rsid w:val="00635255"/>
    <w:rsid w:val="0063574E"/>
    <w:rsid w:val="006360BB"/>
    <w:rsid w:val="00637379"/>
    <w:rsid w:val="0063768A"/>
    <w:rsid w:val="006379C3"/>
    <w:rsid w:val="00640368"/>
    <w:rsid w:val="00640886"/>
    <w:rsid w:val="00640B4C"/>
    <w:rsid w:val="006411A9"/>
    <w:rsid w:val="0064145A"/>
    <w:rsid w:val="006415B5"/>
    <w:rsid w:val="0064190C"/>
    <w:rsid w:val="0064240F"/>
    <w:rsid w:val="00642B09"/>
    <w:rsid w:val="006438C1"/>
    <w:rsid w:val="00643B0C"/>
    <w:rsid w:val="0064407D"/>
    <w:rsid w:val="006443EB"/>
    <w:rsid w:val="006457E7"/>
    <w:rsid w:val="00645FEF"/>
    <w:rsid w:val="006462D9"/>
    <w:rsid w:val="00646494"/>
    <w:rsid w:val="006464FE"/>
    <w:rsid w:val="006466CE"/>
    <w:rsid w:val="0064766E"/>
    <w:rsid w:val="006477F3"/>
    <w:rsid w:val="00647E3B"/>
    <w:rsid w:val="006512C3"/>
    <w:rsid w:val="006518E0"/>
    <w:rsid w:val="006523D0"/>
    <w:rsid w:val="00652B8E"/>
    <w:rsid w:val="00652E3D"/>
    <w:rsid w:val="0065357F"/>
    <w:rsid w:val="00653787"/>
    <w:rsid w:val="00653AFC"/>
    <w:rsid w:val="00653B47"/>
    <w:rsid w:val="00654271"/>
    <w:rsid w:val="00654564"/>
    <w:rsid w:val="00654951"/>
    <w:rsid w:val="00654D33"/>
    <w:rsid w:val="00655633"/>
    <w:rsid w:val="006571F7"/>
    <w:rsid w:val="00657617"/>
    <w:rsid w:val="0065772A"/>
    <w:rsid w:val="00660377"/>
    <w:rsid w:val="0066068B"/>
    <w:rsid w:val="00661098"/>
    <w:rsid w:val="0066163E"/>
    <w:rsid w:val="00661ECE"/>
    <w:rsid w:val="006627E0"/>
    <w:rsid w:val="00662803"/>
    <w:rsid w:val="00662A73"/>
    <w:rsid w:val="00663314"/>
    <w:rsid w:val="0066384F"/>
    <w:rsid w:val="00664128"/>
    <w:rsid w:val="00664538"/>
    <w:rsid w:val="00664A1A"/>
    <w:rsid w:val="00665440"/>
    <w:rsid w:val="006655DE"/>
    <w:rsid w:val="00665CC4"/>
    <w:rsid w:val="00665EE2"/>
    <w:rsid w:val="00665F66"/>
    <w:rsid w:val="00666252"/>
    <w:rsid w:val="00666A9E"/>
    <w:rsid w:val="00667027"/>
    <w:rsid w:val="00667EA3"/>
    <w:rsid w:val="0067085C"/>
    <w:rsid w:val="00670ED9"/>
    <w:rsid w:val="006728A8"/>
    <w:rsid w:val="00673F59"/>
    <w:rsid w:val="00674789"/>
    <w:rsid w:val="006749C9"/>
    <w:rsid w:val="006755C1"/>
    <w:rsid w:val="00676AF6"/>
    <w:rsid w:val="00677673"/>
    <w:rsid w:val="00677724"/>
    <w:rsid w:val="00677DF9"/>
    <w:rsid w:val="00677E2F"/>
    <w:rsid w:val="00677F3D"/>
    <w:rsid w:val="006807C3"/>
    <w:rsid w:val="006814A6"/>
    <w:rsid w:val="00681549"/>
    <w:rsid w:val="00682121"/>
    <w:rsid w:val="006827C0"/>
    <w:rsid w:val="00682C2F"/>
    <w:rsid w:val="00682FF5"/>
    <w:rsid w:val="00683257"/>
    <w:rsid w:val="00684232"/>
    <w:rsid w:val="006849D9"/>
    <w:rsid w:val="00684AB6"/>
    <w:rsid w:val="00684CEC"/>
    <w:rsid w:val="00684EEB"/>
    <w:rsid w:val="0068587F"/>
    <w:rsid w:val="006859BD"/>
    <w:rsid w:val="00685CE5"/>
    <w:rsid w:val="00686047"/>
    <w:rsid w:val="006861D4"/>
    <w:rsid w:val="0068673E"/>
    <w:rsid w:val="00686A0E"/>
    <w:rsid w:val="00686A86"/>
    <w:rsid w:val="00687708"/>
    <w:rsid w:val="0068796F"/>
    <w:rsid w:val="00687C43"/>
    <w:rsid w:val="00687CCD"/>
    <w:rsid w:val="00690F66"/>
    <w:rsid w:val="00691BB8"/>
    <w:rsid w:val="006922C8"/>
    <w:rsid w:val="00692879"/>
    <w:rsid w:val="006932AA"/>
    <w:rsid w:val="00693792"/>
    <w:rsid w:val="00693BE2"/>
    <w:rsid w:val="00693D33"/>
    <w:rsid w:val="00695096"/>
    <w:rsid w:val="0069521F"/>
    <w:rsid w:val="00696519"/>
    <w:rsid w:val="006965D2"/>
    <w:rsid w:val="00696663"/>
    <w:rsid w:val="00696D86"/>
    <w:rsid w:val="00696FE5"/>
    <w:rsid w:val="00697955"/>
    <w:rsid w:val="006A0B8D"/>
    <w:rsid w:val="006A0D29"/>
    <w:rsid w:val="006A0D56"/>
    <w:rsid w:val="006A1655"/>
    <w:rsid w:val="006A175F"/>
    <w:rsid w:val="006A1805"/>
    <w:rsid w:val="006A1F5A"/>
    <w:rsid w:val="006A2144"/>
    <w:rsid w:val="006A24F2"/>
    <w:rsid w:val="006A2764"/>
    <w:rsid w:val="006A45E2"/>
    <w:rsid w:val="006A48CD"/>
    <w:rsid w:val="006A5475"/>
    <w:rsid w:val="006A6A53"/>
    <w:rsid w:val="006A6ABC"/>
    <w:rsid w:val="006A754E"/>
    <w:rsid w:val="006A7F14"/>
    <w:rsid w:val="006B0125"/>
    <w:rsid w:val="006B0226"/>
    <w:rsid w:val="006B0891"/>
    <w:rsid w:val="006B1220"/>
    <w:rsid w:val="006B1884"/>
    <w:rsid w:val="006B2AA3"/>
    <w:rsid w:val="006B2CD0"/>
    <w:rsid w:val="006B2DCC"/>
    <w:rsid w:val="006B3755"/>
    <w:rsid w:val="006B3D57"/>
    <w:rsid w:val="006B3D84"/>
    <w:rsid w:val="006B3D93"/>
    <w:rsid w:val="006B4010"/>
    <w:rsid w:val="006B4103"/>
    <w:rsid w:val="006B442A"/>
    <w:rsid w:val="006B46D3"/>
    <w:rsid w:val="006B499A"/>
    <w:rsid w:val="006B4A72"/>
    <w:rsid w:val="006B4E74"/>
    <w:rsid w:val="006B4F95"/>
    <w:rsid w:val="006B5ECB"/>
    <w:rsid w:val="006B6D31"/>
    <w:rsid w:val="006B724D"/>
    <w:rsid w:val="006B7552"/>
    <w:rsid w:val="006B7FBB"/>
    <w:rsid w:val="006C0698"/>
    <w:rsid w:val="006C0CB6"/>
    <w:rsid w:val="006C0DC9"/>
    <w:rsid w:val="006C0E98"/>
    <w:rsid w:val="006C16C3"/>
    <w:rsid w:val="006C187B"/>
    <w:rsid w:val="006C19C8"/>
    <w:rsid w:val="006C1FE8"/>
    <w:rsid w:val="006C248A"/>
    <w:rsid w:val="006C26F8"/>
    <w:rsid w:val="006C2720"/>
    <w:rsid w:val="006C34F3"/>
    <w:rsid w:val="006C3899"/>
    <w:rsid w:val="006C4179"/>
    <w:rsid w:val="006C478C"/>
    <w:rsid w:val="006C47CF"/>
    <w:rsid w:val="006C66FE"/>
    <w:rsid w:val="006D0DDD"/>
    <w:rsid w:val="006D219B"/>
    <w:rsid w:val="006D2245"/>
    <w:rsid w:val="006D2FF1"/>
    <w:rsid w:val="006D47F3"/>
    <w:rsid w:val="006D4837"/>
    <w:rsid w:val="006D4E77"/>
    <w:rsid w:val="006D620E"/>
    <w:rsid w:val="006D6258"/>
    <w:rsid w:val="006D6BE4"/>
    <w:rsid w:val="006D7C34"/>
    <w:rsid w:val="006D7E32"/>
    <w:rsid w:val="006E0427"/>
    <w:rsid w:val="006E0D6A"/>
    <w:rsid w:val="006E1EE6"/>
    <w:rsid w:val="006E2A80"/>
    <w:rsid w:val="006E3307"/>
    <w:rsid w:val="006E3BCC"/>
    <w:rsid w:val="006E47D6"/>
    <w:rsid w:val="006E4848"/>
    <w:rsid w:val="006E49B0"/>
    <w:rsid w:val="006E49F0"/>
    <w:rsid w:val="006E51DB"/>
    <w:rsid w:val="006E5656"/>
    <w:rsid w:val="006E61FC"/>
    <w:rsid w:val="006E7546"/>
    <w:rsid w:val="006E75D8"/>
    <w:rsid w:val="006E78A7"/>
    <w:rsid w:val="006E7CFB"/>
    <w:rsid w:val="006F0103"/>
    <w:rsid w:val="006F04D9"/>
    <w:rsid w:val="006F0EE9"/>
    <w:rsid w:val="006F1726"/>
    <w:rsid w:val="006F1785"/>
    <w:rsid w:val="006F2EAB"/>
    <w:rsid w:val="006F3501"/>
    <w:rsid w:val="006F36CE"/>
    <w:rsid w:val="006F3FDB"/>
    <w:rsid w:val="006F43AC"/>
    <w:rsid w:val="006F4B1D"/>
    <w:rsid w:val="006F5040"/>
    <w:rsid w:val="006F53D1"/>
    <w:rsid w:val="006F54E3"/>
    <w:rsid w:val="006F5F1F"/>
    <w:rsid w:val="006F64A3"/>
    <w:rsid w:val="006F788F"/>
    <w:rsid w:val="006F7925"/>
    <w:rsid w:val="006F7BE3"/>
    <w:rsid w:val="006F7F55"/>
    <w:rsid w:val="00700333"/>
    <w:rsid w:val="007003A5"/>
    <w:rsid w:val="007004AB"/>
    <w:rsid w:val="0070234D"/>
    <w:rsid w:val="00702ADF"/>
    <w:rsid w:val="00703146"/>
    <w:rsid w:val="00703543"/>
    <w:rsid w:val="0070360F"/>
    <w:rsid w:val="007038C0"/>
    <w:rsid w:val="00703EE1"/>
    <w:rsid w:val="00704C5E"/>
    <w:rsid w:val="0070508E"/>
    <w:rsid w:val="00705C60"/>
    <w:rsid w:val="00705DD9"/>
    <w:rsid w:val="00705E54"/>
    <w:rsid w:val="0071008E"/>
    <w:rsid w:val="00712306"/>
    <w:rsid w:val="007124C9"/>
    <w:rsid w:val="0071321A"/>
    <w:rsid w:val="00713E29"/>
    <w:rsid w:val="007146C5"/>
    <w:rsid w:val="00714B83"/>
    <w:rsid w:val="0071581B"/>
    <w:rsid w:val="00715938"/>
    <w:rsid w:val="007169C8"/>
    <w:rsid w:val="00716ACD"/>
    <w:rsid w:val="00717A23"/>
    <w:rsid w:val="007206B5"/>
    <w:rsid w:val="00720FC6"/>
    <w:rsid w:val="00721726"/>
    <w:rsid w:val="007226D4"/>
    <w:rsid w:val="00723E11"/>
    <w:rsid w:val="0072409E"/>
    <w:rsid w:val="007245F4"/>
    <w:rsid w:val="00724624"/>
    <w:rsid w:val="007246EC"/>
    <w:rsid w:val="00724912"/>
    <w:rsid w:val="00724F6E"/>
    <w:rsid w:val="00725314"/>
    <w:rsid w:val="007256E7"/>
    <w:rsid w:val="0072618D"/>
    <w:rsid w:val="00726E2E"/>
    <w:rsid w:val="0072703D"/>
    <w:rsid w:val="007277F8"/>
    <w:rsid w:val="007278AD"/>
    <w:rsid w:val="0073021F"/>
    <w:rsid w:val="00730D69"/>
    <w:rsid w:val="00731114"/>
    <w:rsid w:val="00731154"/>
    <w:rsid w:val="0073239A"/>
    <w:rsid w:val="007328F3"/>
    <w:rsid w:val="00732DE8"/>
    <w:rsid w:val="00733922"/>
    <w:rsid w:val="00734870"/>
    <w:rsid w:val="00734F06"/>
    <w:rsid w:val="007350D9"/>
    <w:rsid w:val="00735D0B"/>
    <w:rsid w:val="0073786C"/>
    <w:rsid w:val="00737C73"/>
    <w:rsid w:val="00740748"/>
    <w:rsid w:val="007407C6"/>
    <w:rsid w:val="007411CB"/>
    <w:rsid w:val="00741F39"/>
    <w:rsid w:val="00743421"/>
    <w:rsid w:val="0074365F"/>
    <w:rsid w:val="00744C7D"/>
    <w:rsid w:val="00744FAA"/>
    <w:rsid w:val="007450E5"/>
    <w:rsid w:val="00745603"/>
    <w:rsid w:val="00745BFC"/>
    <w:rsid w:val="00745C65"/>
    <w:rsid w:val="00745DE7"/>
    <w:rsid w:val="0074631E"/>
    <w:rsid w:val="0074689F"/>
    <w:rsid w:val="00746F45"/>
    <w:rsid w:val="007470D4"/>
    <w:rsid w:val="0075048B"/>
    <w:rsid w:val="00750E18"/>
    <w:rsid w:val="00750FB0"/>
    <w:rsid w:val="00751670"/>
    <w:rsid w:val="007518E2"/>
    <w:rsid w:val="00751E1D"/>
    <w:rsid w:val="007531CE"/>
    <w:rsid w:val="00753F5C"/>
    <w:rsid w:val="00754159"/>
    <w:rsid w:val="00754808"/>
    <w:rsid w:val="00754E7F"/>
    <w:rsid w:val="00755701"/>
    <w:rsid w:val="00755E4A"/>
    <w:rsid w:val="00755E80"/>
    <w:rsid w:val="00756355"/>
    <w:rsid w:val="007563C9"/>
    <w:rsid w:val="00756657"/>
    <w:rsid w:val="0075693A"/>
    <w:rsid w:val="00757003"/>
    <w:rsid w:val="00757241"/>
    <w:rsid w:val="00757A65"/>
    <w:rsid w:val="007600B6"/>
    <w:rsid w:val="007603D0"/>
    <w:rsid w:val="007606F4"/>
    <w:rsid w:val="00760D05"/>
    <w:rsid w:val="00761F97"/>
    <w:rsid w:val="00762455"/>
    <w:rsid w:val="00762BA5"/>
    <w:rsid w:val="00763513"/>
    <w:rsid w:val="00764390"/>
    <w:rsid w:val="00764599"/>
    <w:rsid w:val="00765D2E"/>
    <w:rsid w:val="00766126"/>
    <w:rsid w:val="007667B0"/>
    <w:rsid w:val="007667D7"/>
    <w:rsid w:val="00766D29"/>
    <w:rsid w:val="00766E76"/>
    <w:rsid w:val="00766FB1"/>
    <w:rsid w:val="0076771F"/>
    <w:rsid w:val="007702B2"/>
    <w:rsid w:val="007706A8"/>
    <w:rsid w:val="007707B5"/>
    <w:rsid w:val="007709FC"/>
    <w:rsid w:val="00770B39"/>
    <w:rsid w:val="00770E0E"/>
    <w:rsid w:val="00770EB1"/>
    <w:rsid w:val="00771D73"/>
    <w:rsid w:val="00773331"/>
    <w:rsid w:val="007741FB"/>
    <w:rsid w:val="007743EE"/>
    <w:rsid w:val="00774FB7"/>
    <w:rsid w:val="00775225"/>
    <w:rsid w:val="0077635A"/>
    <w:rsid w:val="007766C5"/>
    <w:rsid w:val="00777884"/>
    <w:rsid w:val="00777B98"/>
    <w:rsid w:val="007801E8"/>
    <w:rsid w:val="00780D96"/>
    <w:rsid w:val="007818C0"/>
    <w:rsid w:val="00783144"/>
    <w:rsid w:val="0078317C"/>
    <w:rsid w:val="007833EC"/>
    <w:rsid w:val="007834DD"/>
    <w:rsid w:val="00783CD9"/>
    <w:rsid w:val="007840B1"/>
    <w:rsid w:val="00784564"/>
    <w:rsid w:val="007852BB"/>
    <w:rsid w:val="00785F03"/>
    <w:rsid w:val="0078680B"/>
    <w:rsid w:val="00787023"/>
    <w:rsid w:val="00787291"/>
    <w:rsid w:val="007873B0"/>
    <w:rsid w:val="007874EF"/>
    <w:rsid w:val="00787538"/>
    <w:rsid w:val="00787CC5"/>
    <w:rsid w:val="00787E7F"/>
    <w:rsid w:val="00790503"/>
    <w:rsid w:val="0079137D"/>
    <w:rsid w:val="00791E59"/>
    <w:rsid w:val="00792494"/>
    <w:rsid w:val="007932EF"/>
    <w:rsid w:val="00793C6F"/>
    <w:rsid w:val="007940D2"/>
    <w:rsid w:val="0079432A"/>
    <w:rsid w:val="00794568"/>
    <w:rsid w:val="0079490F"/>
    <w:rsid w:val="00795342"/>
    <w:rsid w:val="007968F0"/>
    <w:rsid w:val="00796B51"/>
    <w:rsid w:val="0079704A"/>
    <w:rsid w:val="00797353"/>
    <w:rsid w:val="0079747B"/>
    <w:rsid w:val="007A1AA0"/>
    <w:rsid w:val="007A1AAA"/>
    <w:rsid w:val="007A1CAC"/>
    <w:rsid w:val="007A1E4A"/>
    <w:rsid w:val="007A2A41"/>
    <w:rsid w:val="007A2C8C"/>
    <w:rsid w:val="007A3F8C"/>
    <w:rsid w:val="007A413E"/>
    <w:rsid w:val="007A4209"/>
    <w:rsid w:val="007A5F58"/>
    <w:rsid w:val="007A6053"/>
    <w:rsid w:val="007A75AE"/>
    <w:rsid w:val="007A7A18"/>
    <w:rsid w:val="007A7BFE"/>
    <w:rsid w:val="007B01DE"/>
    <w:rsid w:val="007B068C"/>
    <w:rsid w:val="007B0A48"/>
    <w:rsid w:val="007B1378"/>
    <w:rsid w:val="007B33B3"/>
    <w:rsid w:val="007B3F75"/>
    <w:rsid w:val="007B45BB"/>
    <w:rsid w:val="007B5FA6"/>
    <w:rsid w:val="007B6C12"/>
    <w:rsid w:val="007B7332"/>
    <w:rsid w:val="007B75D4"/>
    <w:rsid w:val="007C0641"/>
    <w:rsid w:val="007C09AB"/>
    <w:rsid w:val="007C0B31"/>
    <w:rsid w:val="007C10E2"/>
    <w:rsid w:val="007C2EF2"/>
    <w:rsid w:val="007C4470"/>
    <w:rsid w:val="007C47BD"/>
    <w:rsid w:val="007C575A"/>
    <w:rsid w:val="007C57FA"/>
    <w:rsid w:val="007C5A38"/>
    <w:rsid w:val="007C6E57"/>
    <w:rsid w:val="007C6E94"/>
    <w:rsid w:val="007C7ABA"/>
    <w:rsid w:val="007C7FDA"/>
    <w:rsid w:val="007D044D"/>
    <w:rsid w:val="007D05F8"/>
    <w:rsid w:val="007D10EE"/>
    <w:rsid w:val="007D192F"/>
    <w:rsid w:val="007D29E4"/>
    <w:rsid w:val="007D2DAD"/>
    <w:rsid w:val="007D2DEA"/>
    <w:rsid w:val="007D3630"/>
    <w:rsid w:val="007D3DBF"/>
    <w:rsid w:val="007D3E21"/>
    <w:rsid w:val="007D3E7A"/>
    <w:rsid w:val="007D42DE"/>
    <w:rsid w:val="007D4D20"/>
    <w:rsid w:val="007D52E0"/>
    <w:rsid w:val="007D5749"/>
    <w:rsid w:val="007D6B54"/>
    <w:rsid w:val="007D708D"/>
    <w:rsid w:val="007D7626"/>
    <w:rsid w:val="007D766D"/>
    <w:rsid w:val="007E05B0"/>
    <w:rsid w:val="007E0C9C"/>
    <w:rsid w:val="007E11F2"/>
    <w:rsid w:val="007E1268"/>
    <w:rsid w:val="007E1ED5"/>
    <w:rsid w:val="007E2929"/>
    <w:rsid w:val="007E2DCC"/>
    <w:rsid w:val="007E38CE"/>
    <w:rsid w:val="007E3F14"/>
    <w:rsid w:val="007E438E"/>
    <w:rsid w:val="007E465C"/>
    <w:rsid w:val="007E4A49"/>
    <w:rsid w:val="007E5258"/>
    <w:rsid w:val="007E55FB"/>
    <w:rsid w:val="007E58BA"/>
    <w:rsid w:val="007E5E1C"/>
    <w:rsid w:val="007E6349"/>
    <w:rsid w:val="007E7668"/>
    <w:rsid w:val="007F00F8"/>
    <w:rsid w:val="007F0503"/>
    <w:rsid w:val="007F16D5"/>
    <w:rsid w:val="007F176A"/>
    <w:rsid w:val="007F197D"/>
    <w:rsid w:val="007F2739"/>
    <w:rsid w:val="007F332C"/>
    <w:rsid w:val="007F38C7"/>
    <w:rsid w:val="007F3C46"/>
    <w:rsid w:val="007F3CA6"/>
    <w:rsid w:val="007F3DF7"/>
    <w:rsid w:val="007F418C"/>
    <w:rsid w:val="007F41A0"/>
    <w:rsid w:val="007F4359"/>
    <w:rsid w:val="007F479A"/>
    <w:rsid w:val="007F49B5"/>
    <w:rsid w:val="007F4F12"/>
    <w:rsid w:val="007F5E16"/>
    <w:rsid w:val="007F5E7C"/>
    <w:rsid w:val="007F61D8"/>
    <w:rsid w:val="007F645A"/>
    <w:rsid w:val="007F6D6F"/>
    <w:rsid w:val="007F6ECB"/>
    <w:rsid w:val="007F6F4D"/>
    <w:rsid w:val="007F7203"/>
    <w:rsid w:val="0080014F"/>
    <w:rsid w:val="00800840"/>
    <w:rsid w:val="00800BBA"/>
    <w:rsid w:val="00801DA2"/>
    <w:rsid w:val="00801E18"/>
    <w:rsid w:val="0080290F"/>
    <w:rsid w:val="00802FFB"/>
    <w:rsid w:val="00803A75"/>
    <w:rsid w:val="00803AF9"/>
    <w:rsid w:val="00804006"/>
    <w:rsid w:val="008049F3"/>
    <w:rsid w:val="00804CA1"/>
    <w:rsid w:val="00804CE8"/>
    <w:rsid w:val="008055E1"/>
    <w:rsid w:val="00805A9C"/>
    <w:rsid w:val="008061E5"/>
    <w:rsid w:val="0080646A"/>
    <w:rsid w:val="00806D97"/>
    <w:rsid w:val="00807C36"/>
    <w:rsid w:val="00810139"/>
    <w:rsid w:val="00810346"/>
    <w:rsid w:val="00810A74"/>
    <w:rsid w:val="00811288"/>
    <w:rsid w:val="0081173D"/>
    <w:rsid w:val="00811AEB"/>
    <w:rsid w:val="00811B6D"/>
    <w:rsid w:val="008120EC"/>
    <w:rsid w:val="0081255B"/>
    <w:rsid w:val="00813238"/>
    <w:rsid w:val="008132C4"/>
    <w:rsid w:val="00813FA8"/>
    <w:rsid w:val="00814440"/>
    <w:rsid w:val="008161E8"/>
    <w:rsid w:val="008162F1"/>
    <w:rsid w:val="00817271"/>
    <w:rsid w:val="0081772C"/>
    <w:rsid w:val="008217EA"/>
    <w:rsid w:val="0082183D"/>
    <w:rsid w:val="00822E28"/>
    <w:rsid w:val="00823647"/>
    <w:rsid w:val="00823D57"/>
    <w:rsid w:val="00824367"/>
    <w:rsid w:val="00825521"/>
    <w:rsid w:val="00826C64"/>
    <w:rsid w:val="00827245"/>
    <w:rsid w:val="00827B41"/>
    <w:rsid w:val="00827C4F"/>
    <w:rsid w:val="00827CEF"/>
    <w:rsid w:val="00827DC9"/>
    <w:rsid w:val="008301F9"/>
    <w:rsid w:val="0083029B"/>
    <w:rsid w:val="008305AB"/>
    <w:rsid w:val="00830A99"/>
    <w:rsid w:val="008311DB"/>
    <w:rsid w:val="008316BD"/>
    <w:rsid w:val="00832429"/>
    <w:rsid w:val="0083253C"/>
    <w:rsid w:val="00832D67"/>
    <w:rsid w:val="008330FA"/>
    <w:rsid w:val="00833A13"/>
    <w:rsid w:val="00833CBB"/>
    <w:rsid w:val="00834071"/>
    <w:rsid w:val="00834981"/>
    <w:rsid w:val="00834A99"/>
    <w:rsid w:val="00834C68"/>
    <w:rsid w:val="0083608D"/>
    <w:rsid w:val="00837502"/>
    <w:rsid w:val="008375EC"/>
    <w:rsid w:val="00837FC1"/>
    <w:rsid w:val="00840187"/>
    <w:rsid w:val="00840994"/>
    <w:rsid w:val="00840C66"/>
    <w:rsid w:val="00840D88"/>
    <w:rsid w:val="00841622"/>
    <w:rsid w:val="0084174B"/>
    <w:rsid w:val="008418B9"/>
    <w:rsid w:val="00841A4F"/>
    <w:rsid w:val="00842E95"/>
    <w:rsid w:val="00843571"/>
    <w:rsid w:val="008435E9"/>
    <w:rsid w:val="00843E66"/>
    <w:rsid w:val="00843F10"/>
    <w:rsid w:val="00843FDC"/>
    <w:rsid w:val="008444EB"/>
    <w:rsid w:val="00844856"/>
    <w:rsid w:val="00844EE2"/>
    <w:rsid w:val="00845782"/>
    <w:rsid w:val="00845C99"/>
    <w:rsid w:val="00846315"/>
    <w:rsid w:val="00846AED"/>
    <w:rsid w:val="00847319"/>
    <w:rsid w:val="008476FD"/>
    <w:rsid w:val="00850373"/>
    <w:rsid w:val="00850468"/>
    <w:rsid w:val="008506B6"/>
    <w:rsid w:val="00850B0A"/>
    <w:rsid w:val="00850C6D"/>
    <w:rsid w:val="008515E4"/>
    <w:rsid w:val="008517A4"/>
    <w:rsid w:val="00851F57"/>
    <w:rsid w:val="00852678"/>
    <w:rsid w:val="00852810"/>
    <w:rsid w:val="00852A2A"/>
    <w:rsid w:val="008538CF"/>
    <w:rsid w:val="00853AD9"/>
    <w:rsid w:val="00853BEF"/>
    <w:rsid w:val="00853BFB"/>
    <w:rsid w:val="00853D70"/>
    <w:rsid w:val="00853F79"/>
    <w:rsid w:val="00853FA7"/>
    <w:rsid w:val="0085421A"/>
    <w:rsid w:val="00854847"/>
    <w:rsid w:val="00855B0F"/>
    <w:rsid w:val="00855D1B"/>
    <w:rsid w:val="0085656A"/>
    <w:rsid w:val="00857199"/>
    <w:rsid w:val="00857554"/>
    <w:rsid w:val="008577B3"/>
    <w:rsid w:val="008577CC"/>
    <w:rsid w:val="00857D6A"/>
    <w:rsid w:val="00857DA0"/>
    <w:rsid w:val="008609AC"/>
    <w:rsid w:val="00861987"/>
    <w:rsid w:val="00862244"/>
    <w:rsid w:val="0086247E"/>
    <w:rsid w:val="00862517"/>
    <w:rsid w:val="00863166"/>
    <w:rsid w:val="00863809"/>
    <w:rsid w:val="00863957"/>
    <w:rsid w:val="00863B8A"/>
    <w:rsid w:val="00864376"/>
    <w:rsid w:val="00865255"/>
    <w:rsid w:val="008655F6"/>
    <w:rsid w:val="00865687"/>
    <w:rsid w:val="008658BB"/>
    <w:rsid w:val="00865D3D"/>
    <w:rsid w:val="008664DF"/>
    <w:rsid w:val="00866C9B"/>
    <w:rsid w:val="008677F2"/>
    <w:rsid w:val="00867839"/>
    <w:rsid w:val="00867C13"/>
    <w:rsid w:val="0087018E"/>
    <w:rsid w:val="00870CCF"/>
    <w:rsid w:val="00871BC0"/>
    <w:rsid w:val="00872EC3"/>
    <w:rsid w:val="00872F11"/>
    <w:rsid w:val="00873DAD"/>
    <w:rsid w:val="00874897"/>
    <w:rsid w:val="00874D22"/>
    <w:rsid w:val="00875268"/>
    <w:rsid w:val="008754A5"/>
    <w:rsid w:val="008759E9"/>
    <w:rsid w:val="00876274"/>
    <w:rsid w:val="00876351"/>
    <w:rsid w:val="00876E8D"/>
    <w:rsid w:val="0087714E"/>
    <w:rsid w:val="008772ED"/>
    <w:rsid w:val="0088094E"/>
    <w:rsid w:val="00880EF7"/>
    <w:rsid w:val="00881176"/>
    <w:rsid w:val="00881294"/>
    <w:rsid w:val="00881323"/>
    <w:rsid w:val="008813CC"/>
    <w:rsid w:val="00881C95"/>
    <w:rsid w:val="008829E3"/>
    <w:rsid w:val="00882F2F"/>
    <w:rsid w:val="008832D7"/>
    <w:rsid w:val="00883AA8"/>
    <w:rsid w:val="00883D27"/>
    <w:rsid w:val="00884664"/>
    <w:rsid w:val="00884CDB"/>
    <w:rsid w:val="00884F49"/>
    <w:rsid w:val="0088514D"/>
    <w:rsid w:val="008855DD"/>
    <w:rsid w:val="008859D8"/>
    <w:rsid w:val="0088609A"/>
    <w:rsid w:val="0088645E"/>
    <w:rsid w:val="0088725C"/>
    <w:rsid w:val="00887BB0"/>
    <w:rsid w:val="00887DBC"/>
    <w:rsid w:val="00890FC7"/>
    <w:rsid w:val="008916B3"/>
    <w:rsid w:val="00891965"/>
    <w:rsid w:val="00891E78"/>
    <w:rsid w:val="00892097"/>
    <w:rsid w:val="00892305"/>
    <w:rsid w:val="0089250B"/>
    <w:rsid w:val="00892B24"/>
    <w:rsid w:val="008933C0"/>
    <w:rsid w:val="008937E1"/>
    <w:rsid w:val="00893EC5"/>
    <w:rsid w:val="00894540"/>
    <w:rsid w:val="00895E75"/>
    <w:rsid w:val="0089623D"/>
    <w:rsid w:val="0089673F"/>
    <w:rsid w:val="008972E6"/>
    <w:rsid w:val="00897486"/>
    <w:rsid w:val="008A170A"/>
    <w:rsid w:val="008A1CFD"/>
    <w:rsid w:val="008A1EF1"/>
    <w:rsid w:val="008A2914"/>
    <w:rsid w:val="008A3EE3"/>
    <w:rsid w:val="008A400B"/>
    <w:rsid w:val="008A4060"/>
    <w:rsid w:val="008A5AA3"/>
    <w:rsid w:val="008A5BB6"/>
    <w:rsid w:val="008A5DE4"/>
    <w:rsid w:val="008A6161"/>
    <w:rsid w:val="008A78F7"/>
    <w:rsid w:val="008A7EFC"/>
    <w:rsid w:val="008B0634"/>
    <w:rsid w:val="008B0BC3"/>
    <w:rsid w:val="008B0CDE"/>
    <w:rsid w:val="008B117E"/>
    <w:rsid w:val="008B2098"/>
    <w:rsid w:val="008B21BC"/>
    <w:rsid w:val="008B25FB"/>
    <w:rsid w:val="008B28CD"/>
    <w:rsid w:val="008B3164"/>
    <w:rsid w:val="008B344D"/>
    <w:rsid w:val="008B386A"/>
    <w:rsid w:val="008B5A3E"/>
    <w:rsid w:val="008B77F0"/>
    <w:rsid w:val="008B7C21"/>
    <w:rsid w:val="008C07D4"/>
    <w:rsid w:val="008C08DE"/>
    <w:rsid w:val="008C0979"/>
    <w:rsid w:val="008C0B20"/>
    <w:rsid w:val="008C1011"/>
    <w:rsid w:val="008C26C6"/>
    <w:rsid w:val="008C2F06"/>
    <w:rsid w:val="008C4967"/>
    <w:rsid w:val="008C4E97"/>
    <w:rsid w:val="008C5620"/>
    <w:rsid w:val="008C5E2B"/>
    <w:rsid w:val="008C5FD8"/>
    <w:rsid w:val="008C64B2"/>
    <w:rsid w:val="008C686C"/>
    <w:rsid w:val="008C6D54"/>
    <w:rsid w:val="008C7337"/>
    <w:rsid w:val="008D00EA"/>
    <w:rsid w:val="008D0360"/>
    <w:rsid w:val="008D03BF"/>
    <w:rsid w:val="008D040C"/>
    <w:rsid w:val="008D0A51"/>
    <w:rsid w:val="008D1839"/>
    <w:rsid w:val="008D3A76"/>
    <w:rsid w:val="008D3BE3"/>
    <w:rsid w:val="008D3BF9"/>
    <w:rsid w:val="008D4D4B"/>
    <w:rsid w:val="008D4D4C"/>
    <w:rsid w:val="008D5E4E"/>
    <w:rsid w:val="008D613B"/>
    <w:rsid w:val="008D6B98"/>
    <w:rsid w:val="008D79FD"/>
    <w:rsid w:val="008E0973"/>
    <w:rsid w:val="008E1DE9"/>
    <w:rsid w:val="008E2FE9"/>
    <w:rsid w:val="008E3935"/>
    <w:rsid w:val="008E3BDD"/>
    <w:rsid w:val="008E40BD"/>
    <w:rsid w:val="008E415F"/>
    <w:rsid w:val="008E42A2"/>
    <w:rsid w:val="008E468C"/>
    <w:rsid w:val="008E4D8E"/>
    <w:rsid w:val="008E4E25"/>
    <w:rsid w:val="008E510E"/>
    <w:rsid w:val="008E6224"/>
    <w:rsid w:val="008E6480"/>
    <w:rsid w:val="008E6570"/>
    <w:rsid w:val="008E688D"/>
    <w:rsid w:val="008E6C4F"/>
    <w:rsid w:val="008E6F08"/>
    <w:rsid w:val="008E764A"/>
    <w:rsid w:val="008E7C3C"/>
    <w:rsid w:val="008E7FDC"/>
    <w:rsid w:val="008F010B"/>
    <w:rsid w:val="008F0581"/>
    <w:rsid w:val="008F127D"/>
    <w:rsid w:val="008F20B5"/>
    <w:rsid w:val="008F2D3C"/>
    <w:rsid w:val="008F39F2"/>
    <w:rsid w:val="008F3D21"/>
    <w:rsid w:val="008F4463"/>
    <w:rsid w:val="008F561C"/>
    <w:rsid w:val="008F5C05"/>
    <w:rsid w:val="008F6109"/>
    <w:rsid w:val="008F6B8B"/>
    <w:rsid w:val="00900084"/>
    <w:rsid w:val="0090016C"/>
    <w:rsid w:val="009008DA"/>
    <w:rsid w:val="00900BA0"/>
    <w:rsid w:val="009023AA"/>
    <w:rsid w:val="009024DA"/>
    <w:rsid w:val="009026A1"/>
    <w:rsid w:val="00902B3F"/>
    <w:rsid w:val="00902E11"/>
    <w:rsid w:val="00902F94"/>
    <w:rsid w:val="009030DF"/>
    <w:rsid w:val="00903B91"/>
    <w:rsid w:val="00903DD5"/>
    <w:rsid w:val="009044A3"/>
    <w:rsid w:val="009049C2"/>
    <w:rsid w:val="009056DC"/>
    <w:rsid w:val="00905A89"/>
    <w:rsid w:val="00905CBF"/>
    <w:rsid w:val="00906254"/>
    <w:rsid w:val="00906760"/>
    <w:rsid w:val="00906A6E"/>
    <w:rsid w:val="00906B32"/>
    <w:rsid w:val="00906E39"/>
    <w:rsid w:val="0090726C"/>
    <w:rsid w:val="0090728D"/>
    <w:rsid w:val="00907408"/>
    <w:rsid w:val="0091142E"/>
    <w:rsid w:val="0091176C"/>
    <w:rsid w:val="00912F13"/>
    <w:rsid w:val="00913014"/>
    <w:rsid w:val="00913097"/>
    <w:rsid w:val="009133C7"/>
    <w:rsid w:val="00913965"/>
    <w:rsid w:val="00913AAD"/>
    <w:rsid w:val="00914C8F"/>
    <w:rsid w:val="009160B8"/>
    <w:rsid w:val="00916149"/>
    <w:rsid w:val="0091643F"/>
    <w:rsid w:val="00916622"/>
    <w:rsid w:val="009174D9"/>
    <w:rsid w:val="00917F71"/>
    <w:rsid w:val="00920268"/>
    <w:rsid w:val="00920572"/>
    <w:rsid w:val="0092063D"/>
    <w:rsid w:val="009209F8"/>
    <w:rsid w:val="0092177A"/>
    <w:rsid w:val="0092183C"/>
    <w:rsid w:val="009218D7"/>
    <w:rsid w:val="00921CF0"/>
    <w:rsid w:val="00921E92"/>
    <w:rsid w:val="0092214C"/>
    <w:rsid w:val="009221E7"/>
    <w:rsid w:val="00922B5F"/>
    <w:rsid w:val="00923026"/>
    <w:rsid w:val="00923632"/>
    <w:rsid w:val="00923636"/>
    <w:rsid w:val="009245A0"/>
    <w:rsid w:val="00924D12"/>
    <w:rsid w:val="00925C5D"/>
    <w:rsid w:val="00927A5C"/>
    <w:rsid w:val="00927C5B"/>
    <w:rsid w:val="00927EDF"/>
    <w:rsid w:val="00930502"/>
    <w:rsid w:val="00930FF3"/>
    <w:rsid w:val="00931A9B"/>
    <w:rsid w:val="00931B87"/>
    <w:rsid w:val="0093264D"/>
    <w:rsid w:val="00932C09"/>
    <w:rsid w:val="00932FC1"/>
    <w:rsid w:val="0093448E"/>
    <w:rsid w:val="009359BB"/>
    <w:rsid w:val="00935B37"/>
    <w:rsid w:val="00935BEC"/>
    <w:rsid w:val="00935D15"/>
    <w:rsid w:val="009360FC"/>
    <w:rsid w:val="00936164"/>
    <w:rsid w:val="009367A0"/>
    <w:rsid w:val="009369FC"/>
    <w:rsid w:val="00937732"/>
    <w:rsid w:val="00940B36"/>
    <w:rsid w:val="00940BFE"/>
    <w:rsid w:val="00941F60"/>
    <w:rsid w:val="009420BD"/>
    <w:rsid w:val="00942FDC"/>
    <w:rsid w:val="00943543"/>
    <w:rsid w:val="009436AB"/>
    <w:rsid w:val="009438BF"/>
    <w:rsid w:val="00945463"/>
    <w:rsid w:val="009466EF"/>
    <w:rsid w:val="00946F0B"/>
    <w:rsid w:val="00947078"/>
    <w:rsid w:val="00947E91"/>
    <w:rsid w:val="00950A13"/>
    <w:rsid w:val="0095270F"/>
    <w:rsid w:val="009534D8"/>
    <w:rsid w:val="009538B5"/>
    <w:rsid w:val="00953F4D"/>
    <w:rsid w:val="0095412E"/>
    <w:rsid w:val="009549C0"/>
    <w:rsid w:val="00955FB6"/>
    <w:rsid w:val="009570F6"/>
    <w:rsid w:val="00957DDE"/>
    <w:rsid w:val="00957DF6"/>
    <w:rsid w:val="00957EF5"/>
    <w:rsid w:val="00960007"/>
    <w:rsid w:val="00960CAE"/>
    <w:rsid w:val="0096133B"/>
    <w:rsid w:val="0096163C"/>
    <w:rsid w:val="00961643"/>
    <w:rsid w:val="009620E6"/>
    <w:rsid w:val="009620F8"/>
    <w:rsid w:val="009626BD"/>
    <w:rsid w:val="00962D46"/>
    <w:rsid w:val="009633AA"/>
    <w:rsid w:val="009637FD"/>
    <w:rsid w:val="00963919"/>
    <w:rsid w:val="00964743"/>
    <w:rsid w:val="00964B5E"/>
    <w:rsid w:val="00965119"/>
    <w:rsid w:val="009656ED"/>
    <w:rsid w:val="00965BE6"/>
    <w:rsid w:val="009660EE"/>
    <w:rsid w:val="0096653C"/>
    <w:rsid w:val="0096748D"/>
    <w:rsid w:val="00967AEE"/>
    <w:rsid w:val="00970CE3"/>
    <w:rsid w:val="009716C9"/>
    <w:rsid w:val="009723FC"/>
    <w:rsid w:val="00974074"/>
    <w:rsid w:val="009752A3"/>
    <w:rsid w:val="009757D6"/>
    <w:rsid w:val="0097688D"/>
    <w:rsid w:val="00976AEC"/>
    <w:rsid w:val="00976E9B"/>
    <w:rsid w:val="009803E0"/>
    <w:rsid w:val="009806DA"/>
    <w:rsid w:val="00980907"/>
    <w:rsid w:val="00980C91"/>
    <w:rsid w:val="00981B66"/>
    <w:rsid w:val="00981C27"/>
    <w:rsid w:val="00982892"/>
    <w:rsid w:val="00983F35"/>
    <w:rsid w:val="00984AE4"/>
    <w:rsid w:val="009858DA"/>
    <w:rsid w:val="00985AFC"/>
    <w:rsid w:val="00986660"/>
    <w:rsid w:val="00987C6D"/>
    <w:rsid w:val="00987CB8"/>
    <w:rsid w:val="00990163"/>
    <w:rsid w:val="00990BCC"/>
    <w:rsid w:val="009912E2"/>
    <w:rsid w:val="00991A8D"/>
    <w:rsid w:val="00991AD2"/>
    <w:rsid w:val="00992003"/>
    <w:rsid w:val="00992689"/>
    <w:rsid w:val="0099270B"/>
    <w:rsid w:val="009927AE"/>
    <w:rsid w:val="009927D8"/>
    <w:rsid w:val="00992C3D"/>
    <w:rsid w:val="00993166"/>
    <w:rsid w:val="00993AE3"/>
    <w:rsid w:val="009941C7"/>
    <w:rsid w:val="00994D1C"/>
    <w:rsid w:val="00995CDC"/>
    <w:rsid w:val="00995E5F"/>
    <w:rsid w:val="00995EBC"/>
    <w:rsid w:val="00995FDF"/>
    <w:rsid w:val="00995FF2"/>
    <w:rsid w:val="00996DDC"/>
    <w:rsid w:val="009976CB"/>
    <w:rsid w:val="009A0BA6"/>
    <w:rsid w:val="009A15E8"/>
    <w:rsid w:val="009A1F2C"/>
    <w:rsid w:val="009A2414"/>
    <w:rsid w:val="009A24F0"/>
    <w:rsid w:val="009A366E"/>
    <w:rsid w:val="009A4236"/>
    <w:rsid w:val="009A4249"/>
    <w:rsid w:val="009A447A"/>
    <w:rsid w:val="009A53F4"/>
    <w:rsid w:val="009A5AF4"/>
    <w:rsid w:val="009A673B"/>
    <w:rsid w:val="009A6B9A"/>
    <w:rsid w:val="009A6EB5"/>
    <w:rsid w:val="009A7952"/>
    <w:rsid w:val="009B001C"/>
    <w:rsid w:val="009B0468"/>
    <w:rsid w:val="009B328B"/>
    <w:rsid w:val="009B365F"/>
    <w:rsid w:val="009B3937"/>
    <w:rsid w:val="009B3AA8"/>
    <w:rsid w:val="009B3BFA"/>
    <w:rsid w:val="009B43B7"/>
    <w:rsid w:val="009B4720"/>
    <w:rsid w:val="009B488C"/>
    <w:rsid w:val="009B4BC8"/>
    <w:rsid w:val="009B4F99"/>
    <w:rsid w:val="009B58AE"/>
    <w:rsid w:val="009B6F01"/>
    <w:rsid w:val="009B7489"/>
    <w:rsid w:val="009B7D69"/>
    <w:rsid w:val="009C051D"/>
    <w:rsid w:val="009C1299"/>
    <w:rsid w:val="009C1861"/>
    <w:rsid w:val="009C2F61"/>
    <w:rsid w:val="009C397D"/>
    <w:rsid w:val="009C3A88"/>
    <w:rsid w:val="009C3E3B"/>
    <w:rsid w:val="009C3ED3"/>
    <w:rsid w:val="009C4705"/>
    <w:rsid w:val="009C693B"/>
    <w:rsid w:val="009C6942"/>
    <w:rsid w:val="009C76A4"/>
    <w:rsid w:val="009C7909"/>
    <w:rsid w:val="009C7D6C"/>
    <w:rsid w:val="009D0268"/>
    <w:rsid w:val="009D07FE"/>
    <w:rsid w:val="009D09C9"/>
    <w:rsid w:val="009D09D5"/>
    <w:rsid w:val="009D2B60"/>
    <w:rsid w:val="009D3FE7"/>
    <w:rsid w:val="009D4252"/>
    <w:rsid w:val="009D44D0"/>
    <w:rsid w:val="009D47C2"/>
    <w:rsid w:val="009D68D3"/>
    <w:rsid w:val="009D78D0"/>
    <w:rsid w:val="009D7AB5"/>
    <w:rsid w:val="009E0B4F"/>
    <w:rsid w:val="009E0C0E"/>
    <w:rsid w:val="009E12B0"/>
    <w:rsid w:val="009E133F"/>
    <w:rsid w:val="009E258E"/>
    <w:rsid w:val="009E2814"/>
    <w:rsid w:val="009E3BD1"/>
    <w:rsid w:val="009E3DB0"/>
    <w:rsid w:val="009E4096"/>
    <w:rsid w:val="009E54ED"/>
    <w:rsid w:val="009E5DB9"/>
    <w:rsid w:val="009E64FD"/>
    <w:rsid w:val="009F0412"/>
    <w:rsid w:val="009F0AD0"/>
    <w:rsid w:val="009F0C65"/>
    <w:rsid w:val="009F0CB9"/>
    <w:rsid w:val="009F1407"/>
    <w:rsid w:val="009F19A1"/>
    <w:rsid w:val="009F1E64"/>
    <w:rsid w:val="009F283E"/>
    <w:rsid w:val="009F3869"/>
    <w:rsid w:val="009F4028"/>
    <w:rsid w:val="009F4188"/>
    <w:rsid w:val="009F5782"/>
    <w:rsid w:val="009F696B"/>
    <w:rsid w:val="009F6CE1"/>
    <w:rsid w:val="009F70C4"/>
    <w:rsid w:val="009F73BD"/>
    <w:rsid w:val="009F7EB3"/>
    <w:rsid w:val="00A007B0"/>
    <w:rsid w:val="00A008F0"/>
    <w:rsid w:val="00A012FE"/>
    <w:rsid w:val="00A026AF"/>
    <w:rsid w:val="00A037DB"/>
    <w:rsid w:val="00A04B2F"/>
    <w:rsid w:val="00A04FBE"/>
    <w:rsid w:val="00A05239"/>
    <w:rsid w:val="00A05958"/>
    <w:rsid w:val="00A05DE1"/>
    <w:rsid w:val="00A05DED"/>
    <w:rsid w:val="00A06C49"/>
    <w:rsid w:val="00A06F4F"/>
    <w:rsid w:val="00A100D9"/>
    <w:rsid w:val="00A10A0C"/>
    <w:rsid w:val="00A10D6F"/>
    <w:rsid w:val="00A1125F"/>
    <w:rsid w:val="00A114BA"/>
    <w:rsid w:val="00A1169D"/>
    <w:rsid w:val="00A11A2E"/>
    <w:rsid w:val="00A12052"/>
    <w:rsid w:val="00A12EBE"/>
    <w:rsid w:val="00A13043"/>
    <w:rsid w:val="00A142F9"/>
    <w:rsid w:val="00A1460C"/>
    <w:rsid w:val="00A14B21"/>
    <w:rsid w:val="00A14E92"/>
    <w:rsid w:val="00A14F1F"/>
    <w:rsid w:val="00A16C4C"/>
    <w:rsid w:val="00A17DB1"/>
    <w:rsid w:val="00A2049B"/>
    <w:rsid w:val="00A204E8"/>
    <w:rsid w:val="00A20526"/>
    <w:rsid w:val="00A205F6"/>
    <w:rsid w:val="00A22269"/>
    <w:rsid w:val="00A22CFF"/>
    <w:rsid w:val="00A23E28"/>
    <w:rsid w:val="00A2421D"/>
    <w:rsid w:val="00A25294"/>
    <w:rsid w:val="00A25465"/>
    <w:rsid w:val="00A25E88"/>
    <w:rsid w:val="00A2636E"/>
    <w:rsid w:val="00A2665A"/>
    <w:rsid w:val="00A26664"/>
    <w:rsid w:val="00A266F1"/>
    <w:rsid w:val="00A26FC3"/>
    <w:rsid w:val="00A2712C"/>
    <w:rsid w:val="00A274F3"/>
    <w:rsid w:val="00A27715"/>
    <w:rsid w:val="00A3026C"/>
    <w:rsid w:val="00A30BED"/>
    <w:rsid w:val="00A3175D"/>
    <w:rsid w:val="00A318BD"/>
    <w:rsid w:val="00A31928"/>
    <w:rsid w:val="00A32421"/>
    <w:rsid w:val="00A32686"/>
    <w:rsid w:val="00A33866"/>
    <w:rsid w:val="00A33878"/>
    <w:rsid w:val="00A33CEB"/>
    <w:rsid w:val="00A3425A"/>
    <w:rsid w:val="00A35023"/>
    <w:rsid w:val="00A351A8"/>
    <w:rsid w:val="00A35584"/>
    <w:rsid w:val="00A3672C"/>
    <w:rsid w:val="00A40695"/>
    <w:rsid w:val="00A40A4E"/>
    <w:rsid w:val="00A40A5F"/>
    <w:rsid w:val="00A412AA"/>
    <w:rsid w:val="00A41A5D"/>
    <w:rsid w:val="00A436BD"/>
    <w:rsid w:val="00A4452D"/>
    <w:rsid w:val="00A44BC4"/>
    <w:rsid w:val="00A45223"/>
    <w:rsid w:val="00A4642A"/>
    <w:rsid w:val="00A464AD"/>
    <w:rsid w:val="00A46571"/>
    <w:rsid w:val="00A473DF"/>
    <w:rsid w:val="00A475BA"/>
    <w:rsid w:val="00A47CE8"/>
    <w:rsid w:val="00A5008E"/>
    <w:rsid w:val="00A506E0"/>
    <w:rsid w:val="00A50D20"/>
    <w:rsid w:val="00A52C00"/>
    <w:rsid w:val="00A52F25"/>
    <w:rsid w:val="00A52FCC"/>
    <w:rsid w:val="00A53005"/>
    <w:rsid w:val="00A5387D"/>
    <w:rsid w:val="00A54906"/>
    <w:rsid w:val="00A54918"/>
    <w:rsid w:val="00A55BE9"/>
    <w:rsid w:val="00A55CDC"/>
    <w:rsid w:val="00A55FB8"/>
    <w:rsid w:val="00A56C92"/>
    <w:rsid w:val="00A57B5F"/>
    <w:rsid w:val="00A601EE"/>
    <w:rsid w:val="00A60965"/>
    <w:rsid w:val="00A60C2B"/>
    <w:rsid w:val="00A61970"/>
    <w:rsid w:val="00A61E29"/>
    <w:rsid w:val="00A638F6"/>
    <w:rsid w:val="00A641B4"/>
    <w:rsid w:val="00A64A83"/>
    <w:rsid w:val="00A65850"/>
    <w:rsid w:val="00A65C3A"/>
    <w:rsid w:val="00A65C4E"/>
    <w:rsid w:val="00A6623A"/>
    <w:rsid w:val="00A66FA6"/>
    <w:rsid w:val="00A70DE3"/>
    <w:rsid w:val="00A70EF1"/>
    <w:rsid w:val="00A7100D"/>
    <w:rsid w:val="00A710D1"/>
    <w:rsid w:val="00A71147"/>
    <w:rsid w:val="00A71CC7"/>
    <w:rsid w:val="00A7238C"/>
    <w:rsid w:val="00A72968"/>
    <w:rsid w:val="00A73539"/>
    <w:rsid w:val="00A73904"/>
    <w:rsid w:val="00A73D16"/>
    <w:rsid w:val="00A73D80"/>
    <w:rsid w:val="00A742FA"/>
    <w:rsid w:val="00A7446C"/>
    <w:rsid w:val="00A74D9C"/>
    <w:rsid w:val="00A766DD"/>
    <w:rsid w:val="00A76E53"/>
    <w:rsid w:val="00A7795A"/>
    <w:rsid w:val="00A77EB0"/>
    <w:rsid w:val="00A809DA"/>
    <w:rsid w:val="00A80EF6"/>
    <w:rsid w:val="00A81510"/>
    <w:rsid w:val="00A818DE"/>
    <w:rsid w:val="00A81AFE"/>
    <w:rsid w:val="00A81ED3"/>
    <w:rsid w:val="00A82009"/>
    <w:rsid w:val="00A8210D"/>
    <w:rsid w:val="00A82317"/>
    <w:rsid w:val="00A8270A"/>
    <w:rsid w:val="00A82711"/>
    <w:rsid w:val="00A837E8"/>
    <w:rsid w:val="00A848B1"/>
    <w:rsid w:val="00A85A51"/>
    <w:rsid w:val="00A85F3F"/>
    <w:rsid w:val="00A86136"/>
    <w:rsid w:val="00A86B47"/>
    <w:rsid w:val="00A86CE9"/>
    <w:rsid w:val="00A87FFC"/>
    <w:rsid w:val="00A915D2"/>
    <w:rsid w:val="00A91695"/>
    <w:rsid w:val="00A91C58"/>
    <w:rsid w:val="00A91D17"/>
    <w:rsid w:val="00A91D6B"/>
    <w:rsid w:val="00A91F21"/>
    <w:rsid w:val="00A92669"/>
    <w:rsid w:val="00A93A7A"/>
    <w:rsid w:val="00A93BC6"/>
    <w:rsid w:val="00A947C0"/>
    <w:rsid w:val="00A94B01"/>
    <w:rsid w:val="00A94BC8"/>
    <w:rsid w:val="00A94ED4"/>
    <w:rsid w:val="00A95C79"/>
    <w:rsid w:val="00A96489"/>
    <w:rsid w:val="00A97BFA"/>
    <w:rsid w:val="00AA02E3"/>
    <w:rsid w:val="00AA08AC"/>
    <w:rsid w:val="00AA10CD"/>
    <w:rsid w:val="00AA183B"/>
    <w:rsid w:val="00AA1C11"/>
    <w:rsid w:val="00AA2715"/>
    <w:rsid w:val="00AA2B0D"/>
    <w:rsid w:val="00AA2B91"/>
    <w:rsid w:val="00AA3BDC"/>
    <w:rsid w:val="00AA40F6"/>
    <w:rsid w:val="00AA50E3"/>
    <w:rsid w:val="00AA5DC8"/>
    <w:rsid w:val="00AB14AA"/>
    <w:rsid w:val="00AB18E5"/>
    <w:rsid w:val="00AB1B74"/>
    <w:rsid w:val="00AB1CDF"/>
    <w:rsid w:val="00AB243D"/>
    <w:rsid w:val="00AB24FA"/>
    <w:rsid w:val="00AB293D"/>
    <w:rsid w:val="00AB2B1E"/>
    <w:rsid w:val="00AB301B"/>
    <w:rsid w:val="00AB3204"/>
    <w:rsid w:val="00AB3945"/>
    <w:rsid w:val="00AB4A34"/>
    <w:rsid w:val="00AB4FC0"/>
    <w:rsid w:val="00AB50F0"/>
    <w:rsid w:val="00AB589E"/>
    <w:rsid w:val="00AB68A8"/>
    <w:rsid w:val="00AB68DC"/>
    <w:rsid w:val="00AB6F8E"/>
    <w:rsid w:val="00AB7158"/>
    <w:rsid w:val="00AB7AC0"/>
    <w:rsid w:val="00AC020D"/>
    <w:rsid w:val="00AC0382"/>
    <w:rsid w:val="00AC03AC"/>
    <w:rsid w:val="00AC085B"/>
    <w:rsid w:val="00AC2348"/>
    <w:rsid w:val="00AC2B69"/>
    <w:rsid w:val="00AC3F59"/>
    <w:rsid w:val="00AC4389"/>
    <w:rsid w:val="00AC4914"/>
    <w:rsid w:val="00AC4AF0"/>
    <w:rsid w:val="00AC6009"/>
    <w:rsid w:val="00AC6523"/>
    <w:rsid w:val="00AC6C83"/>
    <w:rsid w:val="00AC729E"/>
    <w:rsid w:val="00AD02F8"/>
    <w:rsid w:val="00AD0567"/>
    <w:rsid w:val="00AD06DA"/>
    <w:rsid w:val="00AD0B1F"/>
    <w:rsid w:val="00AD2260"/>
    <w:rsid w:val="00AD2DF2"/>
    <w:rsid w:val="00AD3110"/>
    <w:rsid w:val="00AD566D"/>
    <w:rsid w:val="00AD5820"/>
    <w:rsid w:val="00AD58B9"/>
    <w:rsid w:val="00AD6752"/>
    <w:rsid w:val="00AD6A35"/>
    <w:rsid w:val="00AD76B4"/>
    <w:rsid w:val="00AD7750"/>
    <w:rsid w:val="00AD7B81"/>
    <w:rsid w:val="00AE11A4"/>
    <w:rsid w:val="00AE26A4"/>
    <w:rsid w:val="00AE345C"/>
    <w:rsid w:val="00AE4AC6"/>
    <w:rsid w:val="00AE4EE3"/>
    <w:rsid w:val="00AE5AC5"/>
    <w:rsid w:val="00AE5D05"/>
    <w:rsid w:val="00AE61B1"/>
    <w:rsid w:val="00AE6A61"/>
    <w:rsid w:val="00AE76FA"/>
    <w:rsid w:val="00AF01D6"/>
    <w:rsid w:val="00AF025B"/>
    <w:rsid w:val="00AF038B"/>
    <w:rsid w:val="00AF0785"/>
    <w:rsid w:val="00AF0B2E"/>
    <w:rsid w:val="00AF1483"/>
    <w:rsid w:val="00AF1528"/>
    <w:rsid w:val="00AF182B"/>
    <w:rsid w:val="00AF1866"/>
    <w:rsid w:val="00AF1B64"/>
    <w:rsid w:val="00AF301F"/>
    <w:rsid w:val="00AF37DB"/>
    <w:rsid w:val="00AF3C15"/>
    <w:rsid w:val="00AF3D93"/>
    <w:rsid w:val="00AF4095"/>
    <w:rsid w:val="00AF40B4"/>
    <w:rsid w:val="00AF5165"/>
    <w:rsid w:val="00AF548E"/>
    <w:rsid w:val="00AF6434"/>
    <w:rsid w:val="00AF68D6"/>
    <w:rsid w:val="00AF6DFF"/>
    <w:rsid w:val="00AF7F14"/>
    <w:rsid w:val="00B00A1B"/>
    <w:rsid w:val="00B0113D"/>
    <w:rsid w:val="00B01212"/>
    <w:rsid w:val="00B01F12"/>
    <w:rsid w:val="00B02A3D"/>
    <w:rsid w:val="00B02EC5"/>
    <w:rsid w:val="00B038D0"/>
    <w:rsid w:val="00B03ADD"/>
    <w:rsid w:val="00B03F27"/>
    <w:rsid w:val="00B04193"/>
    <w:rsid w:val="00B046D5"/>
    <w:rsid w:val="00B04977"/>
    <w:rsid w:val="00B04BA0"/>
    <w:rsid w:val="00B05531"/>
    <w:rsid w:val="00B05DDC"/>
    <w:rsid w:val="00B06394"/>
    <w:rsid w:val="00B07729"/>
    <w:rsid w:val="00B07A95"/>
    <w:rsid w:val="00B07CCD"/>
    <w:rsid w:val="00B07E19"/>
    <w:rsid w:val="00B07EC6"/>
    <w:rsid w:val="00B10056"/>
    <w:rsid w:val="00B1013A"/>
    <w:rsid w:val="00B10B54"/>
    <w:rsid w:val="00B10F80"/>
    <w:rsid w:val="00B11352"/>
    <w:rsid w:val="00B113F1"/>
    <w:rsid w:val="00B1242B"/>
    <w:rsid w:val="00B12BAC"/>
    <w:rsid w:val="00B12E0B"/>
    <w:rsid w:val="00B133C1"/>
    <w:rsid w:val="00B13FC3"/>
    <w:rsid w:val="00B1442F"/>
    <w:rsid w:val="00B15011"/>
    <w:rsid w:val="00B158CF"/>
    <w:rsid w:val="00B15CBD"/>
    <w:rsid w:val="00B1661D"/>
    <w:rsid w:val="00B16D30"/>
    <w:rsid w:val="00B17250"/>
    <w:rsid w:val="00B177E6"/>
    <w:rsid w:val="00B202D7"/>
    <w:rsid w:val="00B2122E"/>
    <w:rsid w:val="00B2153C"/>
    <w:rsid w:val="00B21A1D"/>
    <w:rsid w:val="00B21B62"/>
    <w:rsid w:val="00B21C95"/>
    <w:rsid w:val="00B2287A"/>
    <w:rsid w:val="00B22C6A"/>
    <w:rsid w:val="00B22FAB"/>
    <w:rsid w:val="00B23625"/>
    <w:rsid w:val="00B23927"/>
    <w:rsid w:val="00B24B15"/>
    <w:rsid w:val="00B24CC5"/>
    <w:rsid w:val="00B24CCF"/>
    <w:rsid w:val="00B254DF"/>
    <w:rsid w:val="00B25822"/>
    <w:rsid w:val="00B258CA"/>
    <w:rsid w:val="00B271A7"/>
    <w:rsid w:val="00B27694"/>
    <w:rsid w:val="00B278C9"/>
    <w:rsid w:val="00B279B4"/>
    <w:rsid w:val="00B30213"/>
    <w:rsid w:val="00B30BF8"/>
    <w:rsid w:val="00B311AD"/>
    <w:rsid w:val="00B31891"/>
    <w:rsid w:val="00B31CC9"/>
    <w:rsid w:val="00B32406"/>
    <w:rsid w:val="00B32794"/>
    <w:rsid w:val="00B32BBD"/>
    <w:rsid w:val="00B33E10"/>
    <w:rsid w:val="00B33E78"/>
    <w:rsid w:val="00B34533"/>
    <w:rsid w:val="00B34C8F"/>
    <w:rsid w:val="00B34F12"/>
    <w:rsid w:val="00B350C1"/>
    <w:rsid w:val="00B358FC"/>
    <w:rsid w:val="00B359F6"/>
    <w:rsid w:val="00B35F49"/>
    <w:rsid w:val="00B37AEB"/>
    <w:rsid w:val="00B37C3E"/>
    <w:rsid w:val="00B37F68"/>
    <w:rsid w:val="00B402F0"/>
    <w:rsid w:val="00B40734"/>
    <w:rsid w:val="00B40D3C"/>
    <w:rsid w:val="00B41485"/>
    <w:rsid w:val="00B42347"/>
    <w:rsid w:val="00B42B13"/>
    <w:rsid w:val="00B42C38"/>
    <w:rsid w:val="00B42D1E"/>
    <w:rsid w:val="00B43455"/>
    <w:rsid w:val="00B43885"/>
    <w:rsid w:val="00B43C19"/>
    <w:rsid w:val="00B46DA2"/>
    <w:rsid w:val="00B46DBE"/>
    <w:rsid w:val="00B510CE"/>
    <w:rsid w:val="00B5115B"/>
    <w:rsid w:val="00B51251"/>
    <w:rsid w:val="00B51622"/>
    <w:rsid w:val="00B528B5"/>
    <w:rsid w:val="00B52C23"/>
    <w:rsid w:val="00B53224"/>
    <w:rsid w:val="00B53B74"/>
    <w:rsid w:val="00B53F93"/>
    <w:rsid w:val="00B5417C"/>
    <w:rsid w:val="00B54A79"/>
    <w:rsid w:val="00B54C4E"/>
    <w:rsid w:val="00B554C9"/>
    <w:rsid w:val="00B55554"/>
    <w:rsid w:val="00B55B60"/>
    <w:rsid w:val="00B56AFA"/>
    <w:rsid w:val="00B56AFF"/>
    <w:rsid w:val="00B56EE3"/>
    <w:rsid w:val="00B5724A"/>
    <w:rsid w:val="00B572B8"/>
    <w:rsid w:val="00B57A68"/>
    <w:rsid w:val="00B57B31"/>
    <w:rsid w:val="00B57E32"/>
    <w:rsid w:val="00B615A5"/>
    <w:rsid w:val="00B61D8C"/>
    <w:rsid w:val="00B61E49"/>
    <w:rsid w:val="00B624A5"/>
    <w:rsid w:val="00B627EB"/>
    <w:rsid w:val="00B62F05"/>
    <w:rsid w:val="00B642F3"/>
    <w:rsid w:val="00B64523"/>
    <w:rsid w:val="00B64552"/>
    <w:rsid w:val="00B64935"/>
    <w:rsid w:val="00B65171"/>
    <w:rsid w:val="00B6648F"/>
    <w:rsid w:val="00B665E0"/>
    <w:rsid w:val="00B6748C"/>
    <w:rsid w:val="00B676E2"/>
    <w:rsid w:val="00B67895"/>
    <w:rsid w:val="00B7065A"/>
    <w:rsid w:val="00B70FA6"/>
    <w:rsid w:val="00B7210E"/>
    <w:rsid w:val="00B729FD"/>
    <w:rsid w:val="00B72E32"/>
    <w:rsid w:val="00B747D3"/>
    <w:rsid w:val="00B74C89"/>
    <w:rsid w:val="00B758B5"/>
    <w:rsid w:val="00B75F11"/>
    <w:rsid w:val="00B7627D"/>
    <w:rsid w:val="00B76722"/>
    <w:rsid w:val="00B769B7"/>
    <w:rsid w:val="00B76D03"/>
    <w:rsid w:val="00B76F53"/>
    <w:rsid w:val="00B776CA"/>
    <w:rsid w:val="00B77C15"/>
    <w:rsid w:val="00B77ED0"/>
    <w:rsid w:val="00B808DF"/>
    <w:rsid w:val="00B80C59"/>
    <w:rsid w:val="00B813D6"/>
    <w:rsid w:val="00B81930"/>
    <w:rsid w:val="00B81B2D"/>
    <w:rsid w:val="00B82B2D"/>
    <w:rsid w:val="00B849AD"/>
    <w:rsid w:val="00B84EA2"/>
    <w:rsid w:val="00B86F51"/>
    <w:rsid w:val="00B90A4F"/>
    <w:rsid w:val="00B91038"/>
    <w:rsid w:val="00B9142D"/>
    <w:rsid w:val="00B9192D"/>
    <w:rsid w:val="00B9196D"/>
    <w:rsid w:val="00B91B7D"/>
    <w:rsid w:val="00B91C75"/>
    <w:rsid w:val="00B92846"/>
    <w:rsid w:val="00B92F24"/>
    <w:rsid w:val="00B93EE2"/>
    <w:rsid w:val="00B94E13"/>
    <w:rsid w:val="00B95D27"/>
    <w:rsid w:val="00B963BE"/>
    <w:rsid w:val="00B96891"/>
    <w:rsid w:val="00B97219"/>
    <w:rsid w:val="00B9748C"/>
    <w:rsid w:val="00B974C0"/>
    <w:rsid w:val="00B974DC"/>
    <w:rsid w:val="00B97561"/>
    <w:rsid w:val="00B978FC"/>
    <w:rsid w:val="00B97FD3"/>
    <w:rsid w:val="00BA02ED"/>
    <w:rsid w:val="00BA0651"/>
    <w:rsid w:val="00BA0A76"/>
    <w:rsid w:val="00BA0C88"/>
    <w:rsid w:val="00BA0DD0"/>
    <w:rsid w:val="00BA0EBF"/>
    <w:rsid w:val="00BA1724"/>
    <w:rsid w:val="00BA172F"/>
    <w:rsid w:val="00BA1DAD"/>
    <w:rsid w:val="00BA28F5"/>
    <w:rsid w:val="00BA2973"/>
    <w:rsid w:val="00BA29C3"/>
    <w:rsid w:val="00BA31E3"/>
    <w:rsid w:val="00BA33E9"/>
    <w:rsid w:val="00BA3842"/>
    <w:rsid w:val="00BA44EB"/>
    <w:rsid w:val="00BA472D"/>
    <w:rsid w:val="00BA5243"/>
    <w:rsid w:val="00BA57D6"/>
    <w:rsid w:val="00BA5A78"/>
    <w:rsid w:val="00BA5B46"/>
    <w:rsid w:val="00BA6286"/>
    <w:rsid w:val="00BA632A"/>
    <w:rsid w:val="00BA6D5D"/>
    <w:rsid w:val="00BA78F2"/>
    <w:rsid w:val="00BA7939"/>
    <w:rsid w:val="00BB04D4"/>
    <w:rsid w:val="00BB0520"/>
    <w:rsid w:val="00BB2324"/>
    <w:rsid w:val="00BB2A8E"/>
    <w:rsid w:val="00BB3733"/>
    <w:rsid w:val="00BB3A32"/>
    <w:rsid w:val="00BB4D29"/>
    <w:rsid w:val="00BB4F00"/>
    <w:rsid w:val="00BB4F40"/>
    <w:rsid w:val="00BB515F"/>
    <w:rsid w:val="00BB526B"/>
    <w:rsid w:val="00BB532B"/>
    <w:rsid w:val="00BB57AE"/>
    <w:rsid w:val="00BB6902"/>
    <w:rsid w:val="00BB6D85"/>
    <w:rsid w:val="00BB70B4"/>
    <w:rsid w:val="00BB7616"/>
    <w:rsid w:val="00BC03C6"/>
    <w:rsid w:val="00BC040E"/>
    <w:rsid w:val="00BC04A7"/>
    <w:rsid w:val="00BC0C40"/>
    <w:rsid w:val="00BC1009"/>
    <w:rsid w:val="00BC10D0"/>
    <w:rsid w:val="00BC1821"/>
    <w:rsid w:val="00BC1A3D"/>
    <w:rsid w:val="00BC2415"/>
    <w:rsid w:val="00BC3732"/>
    <w:rsid w:val="00BC3D2D"/>
    <w:rsid w:val="00BC5527"/>
    <w:rsid w:val="00BC569E"/>
    <w:rsid w:val="00BC60C2"/>
    <w:rsid w:val="00BC6853"/>
    <w:rsid w:val="00BC6DD6"/>
    <w:rsid w:val="00BC7022"/>
    <w:rsid w:val="00BD031A"/>
    <w:rsid w:val="00BD07F0"/>
    <w:rsid w:val="00BD0BC9"/>
    <w:rsid w:val="00BD102C"/>
    <w:rsid w:val="00BD10E7"/>
    <w:rsid w:val="00BD12B0"/>
    <w:rsid w:val="00BD20BB"/>
    <w:rsid w:val="00BD22C9"/>
    <w:rsid w:val="00BD2DB7"/>
    <w:rsid w:val="00BD3661"/>
    <w:rsid w:val="00BD3981"/>
    <w:rsid w:val="00BD40D1"/>
    <w:rsid w:val="00BD4C03"/>
    <w:rsid w:val="00BD52A7"/>
    <w:rsid w:val="00BD5776"/>
    <w:rsid w:val="00BD5F18"/>
    <w:rsid w:val="00BD6E1F"/>
    <w:rsid w:val="00BD7259"/>
    <w:rsid w:val="00BE1126"/>
    <w:rsid w:val="00BE1742"/>
    <w:rsid w:val="00BE1C78"/>
    <w:rsid w:val="00BE20E3"/>
    <w:rsid w:val="00BE2335"/>
    <w:rsid w:val="00BE356A"/>
    <w:rsid w:val="00BE39F5"/>
    <w:rsid w:val="00BE4A58"/>
    <w:rsid w:val="00BE5448"/>
    <w:rsid w:val="00BE5B7E"/>
    <w:rsid w:val="00BE6D80"/>
    <w:rsid w:val="00BF0B01"/>
    <w:rsid w:val="00BF1884"/>
    <w:rsid w:val="00BF2BE8"/>
    <w:rsid w:val="00BF30F3"/>
    <w:rsid w:val="00BF341A"/>
    <w:rsid w:val="00BF3FE2"/>
    <w:rsid w:val="00BF403E"/>
    <w:rsid w:val="00BF43F4"/>
    <w:rsid w:val="00BF446D"/>
    <w:rsid w:val="00BF4564"/>
    <w:rsid w:val="00BF472D"/>
    <w:rsid w:val="00BF5324"/>
    <w:rsid w:val="00BF5B8B"/>
    <w:rsid w:val="00BF65F6"/>
    <w:rsid w:val="00BF681C"/>
    <w:rsid w:val="00BF6963"/>
    <w:rsid w:val="00BF76D8"/>
    <w:rsid w:val="00BF7958"/>
    <w:rsid w:val="00C01DF2"/>
    <w:rsid w:val="00C02092"/>
    <w:rsid w:val="00C0275C"/>
    <w:rsid w:val="00C046F1"/>
    <w:rsid w:val="00C04EF1"/>
    <w:rsid w:val="00C0525A"/>
    <w:rsid w:val="00C05CB5"/>
    <w:rsid w:val="00C05FFF"/>
    <w:rsid w:val="00C06B58"/>
    <w:rsid w:val="00C0762D"/>
    <w:rsid w:val="00C07A8D"/>
    <w:rsid w:val="00C07A9D"/>
    <w:rsid w:val="00C103BF"/>
    <w:rsid w:val="00C11197"/>
    <w:rsid w:val="00C12031"/>
    <w:rsid w:val="00C12301"/>
    <w:rsid w:val="00C139C6"/>
    <w:rsid w:val="00C140CA"/>
    <w:rsid w:val="00C14734"/>
    <w:rsid w:val="00C14775"/>
    <w:rsid w:val="00C14987"/>
    <w:rsid w:val="00C15023"/>
    <w:rsid w:val="00C157BD"/>
    <w:rsid w:val="00C15BBA"/>
    <w:rsid w:val="00C17884"/>
    <w:rsid w:val="00C20838"/>
    <w:rsid w:val="00C20BC7"/>
    <w:rsid w:val="00C20F68"/>
    <w:rsid w:val="00C21B5D"/>
    <w:rsid w:val="00C21CA1"/>
    <w:rsid w:val="00C224FD"/>
    <w:rsid w:val="00C228CC"/>
    <w:rsid w:val="00C228E5"/>
    <w:rsid w:val="00C23838"/>
    <w:rsid w:val="00C2385A"/>
    <w:rsid w:val="00C23B6C"/>
    <w:rsid w:val="00C23E9C"/>
    <w:rsid w:val="00C23FE9"/>
    <w:rsid w:val="00C24C79"/>
    <w:rsid w:val="00C25153"/>
    <w:rsid w:val="00C25285"/>
    <w:rsid w:val="00C25C58"/>
    <w:rsid w:val="00C2616D"/>
    <w:rsid w:val="00C26313"/>
    <w:rsid w:val="00C26A83"/>
    <w:rsid w:val="00C26FEE"/>
    <w:rsid w:val="00C273B4"/>
    <w:rsid w:val="00C2795D"/>
    <w:rsid w:val="00C27B81"/>
    <w:rsid w:val="00C27CF7"/>
    <w:rsid w:val="00C306EE"/>
    <w:rsid w:val="00C30F2F"/>
    <w:rsid w:val="00C3138A"/>
    <w:rsid w:val="00C31C5D"/>
    <w:rsid w:val="00C33F63"/>
    <w:rsid w:val="00C34BAE"/>
    <w:rsid w:val="00C34BC2"/>
    <w:rsid w:val="00C34F9C"/>
    <w:rsid w:val="00C3511B"/>
    <w:rsid w:val="00C357BC"/>
    <w:rsid w:val="00C35DEC"/>
    <w:rsid w:val="00C36D5C"/>
    <w:rsid w:val="00C36E1F"/>
    <w:rsid w:val="00C37900"/>
    <w:rsid w:val="00C4031F"/>
    <w:rsid w:val="00C40453"/>
    <w:rsid w:val="00C414D5"/>
    <w:rsid w:val="00C4189E"/>
    <w:rsid w:val="00C42407"/>
    <w:rsid w:val="00C430E4"/>
    <w:rsid w:val="00C44214"/>
    <w:rsid w:val="00C44996"/>
    <w:rsid w:val="00C44AAE"/>
    <w:rsid w:val="00C45342"/>
    <w:rsid w:val="00C456BB"/>
    <w:rsid w:val="00C459F3"/>
    <w:rsid w:val="00C46595"/>
    <w:rsid w:val="00C51632"/>
    <w:rsid w:val="00C51A56"/>
    <w:rsid w:val="00C51C14"/>
    <w:rsid w:val="00C5242D"/>
    <w:rsid w:val="00C52A15"/>
    <w:rsid w:val="00C52AA5"/>
    <w:rsid w:val="00C5369D"/>
    <w:rsid w:val="00C53C49"/>
    <w:rsid w:val="00C556A4"/>
    <w:rsid w:val="00C5633C"/>
    <w:rsid w:val="00C56868"/>
    <w:rsid w:val="00C56D5E"/>
    <w:rsid w:val="00C57708"/>
    <w:rsid w:val="00C57826"/>
    <w:rsid w:val="00C57AE8"/>
    <w:rsid w:val="00C57B91"/>
    <w:rsid w:val="00C57ECE"/>
    <w:rsid w:val="00C62CB6"/>
    <w:rsid w:val="00C62E1F"/>
    <w:rsid w:val="00C62F61"/>
    <w:rsid w:val="00C63D21"/>
    <w:rsid w:val="00C65423"/>
    <w:rsid w:val="00C658D2"/>
    <w:rsid w:val="00C6606D"/>
    <w:rsid w:val="00C6680E"/>
    <w:rsid w:val="00C66DD5"/>
    <w:rsid w:val="00C677BF"/>
    <w:rsid w:val="00C67D61"/>
    <w:rsid w:val="00C7138B"/>
    <w:rsid w:val="00C713F1"/>
    <w:rsid w:val="00C71530"/>
    <w:rsid w:val="00C71584"/>
    <w:rsid w:val="00C72750"/>
    <w:rsid w:val="00C72870"/>
    <w:rsid w:val="00C72BCC"/>
    <w:rsid w:val="00C73815"/>
    <w:rsid w:val="00C741B0"/>
    <w:rsid w:val="00C745B3"/>
    <w:rsid w:val="00C74784"/>
    <w:rsid w:val="00C74F59"/>
    <w:rsid w:val="00C76327"/>
    <w:rsid w:val="00C76FCC"/>
    <w:rsid w:val="00C771AC"/>
    <w:rsid w:val="00C7769E"/>
    <w:rsid w:val="00C77854"/>
    <w:rsid w:val="00C80E83"/>
    <w:rsid w:val="00C817C9"/>
    <w:rsid w:val="00C81F39"/>
    <w:rsid w:val="00C825D9"/>
    <w:rsid w:val="00C827C9"/>
    <w:rsid w:val="00C82DC6"/>
    <w:rsid w:val="00C8327D"/>
    <w:rsid w:val="00C83B66"/>
    <w:rsid w:val="00C8453E"/>
    <w:rsid w:val="00C86488"/>
    <w:rsid w:val="00C86578"/>
    <w:rsid w:val="00C87379"/>
    <w:rsid w:val="00C87DD1"/>
    <w:rsid w:val="00C87E74"/>
    <w:rsid w:val="00C90030"/>
    <w:rsid w:val="00C90359"/>
    <w:rsid w:val="00C90AF1"/>
    <w:rsid w:val="00C90BBA"/>
    <w:rsid w:val="00C911FB"/>
    <w:rsid w:val="00C91495"/>
    <w:rsid w:val="00C91934"/>
    <w:rsid w:val="00C91B5A"/>
    <w:rsid w:val="00C91D8D"/>
    <w:rsid w:val="00C9214F"/>
    <w:rsid w:val="00C93518"/>
    <w:rsid w:val="00C93DA6"/>
    <w:rsid w:val="00C943CF"/>
    <w:rsid w:val="00C94442"/>
    <w:rsid w:val="00C9463B"/>
    <w:rsid w:val="00C94D41"/>
    <w:rsid w:val="00C95624"/>
    <w:rsid w:val="00C9565C"/>
    <w:rsid w:val="00C96787"/>
    <w:rsid w:val="00C96A38"/>
    <w:rsid w:val="00C96AFF"/>
    <w:rsid w:val="00C97B4E"/>
    <w:rsid w:val="00C97F30"/>
    <w:rsid w:val="00C97F75"/>
    <w:rsid w:val="00CA0128"/>
    <w:rsid w:val="00CA0D4B"/>
    <w:rsid w:val="00CA14BB"/>
    <w:rsid w:val="00CA1E1F"/>
    <w:rsid w:val="00CA20C1"/>
    <w:rsid w:val="00CA2146"/>
    <w:rsid w:val="00CA2644"/>
    <w:rsid w:val="00CA359A"/>
    <w:rsid w:val="00CA4618"/>
    <w:rsid w:val="00CA464C"/>
    <w:rsid w:val="00CA5582"/>
    <w:rsid w:val="00CA59D2"/>
    <w:rsid w:val="00CA5B65"/>
    <w:rsid w:val="00CA6014"/>
    <w:rsid w:val="00CA731A"/>
    <w:rsid w:val="00CA7425"/>
    <w:rsid w:val="00CA74FC"/>
    <w:rsid w:val="00CA793E"/>
    <w:rsid w:val="00CA7DE4"/>
    <w:rsid w:val="00CA7FA3"/>
    <w:rsid w:val="00CB15D0"/>
    <w:rsid w:val="00CB199E"/>
    <w:rsid w:val="00CB1AF7"/>
    <w:rsid w:val="00CB1DCE"/>
    <w:rsid w:val="00CB2003"/>
    <w:rsid w:val="00CB2202"/>
    <w:rsid w:val="00CB2F4C"/>
    <w:rsid w:val="00CB3192"/>
    <w:rsid w:val="00CB3598"/>
    <w:rsid w:val="00CB46D7"/>
    <w:rsid w:val="00CB4B51"/>
    <w:rsid w:val="00CB5C25"/>
    <w:rsid w:val="00CB5F7C"/>
    <w:rsid w:val="00CB6A5C"/>
    <w:rsid w:val="00CB72F6"/>
    <w:rsid w:val="00CB7495"/>
    <w:rsid w:val="00CB7A4E"/>
    <w:rsid w:val="00CC0069"/>
    <w:rsid w:val="00CC0132"/>
    <w:rsid w:val="00CC026A"/>
    <w:rsid w:val="00CC05DE"/>
    <w:rsid w:val="00CC0838"/>
    <w:rsid w:val="00CC18EA"/>
    <w:rsid w:val="00CC1E66"/>
    <w:rsid w:val="00CC2331"/>
    <w:rsid w:val="00CC29D8"/>
    <w:rsid w:val="00CC3271"/>
    <w:rsid w:val="00CC399E"/>
    <w:rsid w:val="00CC3E0F"/>
    <w:rsid w:val="00CC4A18"/>
    <w:rsid w:val="00CC4C4F"/>
    <w:rsid w:val="00CC54A0"/>
    <w:rsid w:val="00CC5DBA"/>
    <w:rsid w:val="00CC5E82"/>
    <w:rsid w:val="00CC6711"/>
    <w:rsid w:val="00CC6FD3"/>
    <w:rsid w:val="00CC7159"/>
    <w:rsid w:val="00CC7248"/>
    <w:rsid w:val="00CD0540"/>
    <w:rsid w:val="00CD0F5B"/>
    <w:rsid w:val="00CD1304"/>
    <w:rsid w:val="00CD1918"/>
    <w:rsid w:val="00CD22DC"/>
    <w:rsid w:val="00CD2DD1"/>
    <w:rsid w:val="00CD43D9"/>
    <w:rsid w:val="00CD5255"/>
    <w:rsid w:val="00CD53E4"/>
    <w:rsid w:val="00CD622E"/>
    <w:rsid w:val="00CD7EB5"/>
    <w:rsid w:val="00CE03E5"/>
    <w:rsid w:val="00CE17E4"/>
    <w:rsid w:val="00CE2045"/>
    <w:rsid w:val="00CE209C"/>
    <w:rsid w:val="00CE2DF8"/>
    <w:rsid w:val="00CE3607"/>
    <w:rsid w:val="00CE3EEE"/>
    <w:rsid w:val="00CE4577"/>
    <w:rsid w:val="00CE470C"/>
    <w:rsid w:val="00CE48A9"/>
    <w:rsid w:val="00CE4BEB"/>
    <w:rsid w:val="00CE5B0B"/>
    <w:rsid w:val="00CE5EC3"/>
    <w:rsid w:val="00CE638B"/>
    <w:rsid w:val="00CE678A"/>
    <w:rsid w:val="00CE6D8D"/>
    <w:rsid w:val="00CE6F8E"/>
    <w:rsid w:val="00CE72C1"/>
    <w:rsid w:val="00CE7B27"/>
    <w:rsid w:val="00CF0708"/>
    <w:rsid w:val="00CF0CB8"/>
    <w:rsid w:val="00CF1404"/>
    <w:rsid w:val="00CF1551"/>
    <w:rsid w:val="00CF167D"/>
    <w:rsid w:val="00CF1EF2"/>
    <w:rsid w:val="00CF1FE0"/>
    <w:rsid w:val="00CF25A7"/>
    <w:rsid w:val="00CF3703"/>
    <w:rsid w:val="00CF375E"/>
    <w:rsid w:val="00CF3C7C"/>
    <w:rsid w:val="00CF4CA9"/>
    <w:rsid w:val="00CF50E3"/>
    <w:rsid w:val="00CF5212"/>
    <w:rsid w:val="00CF5368"/>
    <w:rsid w:val="00CF5BFF"/>
    <w:rsid w:val="00CF5D92"/>
    <w:rsid w:val="00CF6B91"/>
    <w:rsid w:val="00CF6CEE"/>
    <w:rsid w:val="00CF73D5"/>
    <w:rsid w:val="00CF779C"/>
    <w:rsid w:val="00D0034A"/>
    <w:rsid w:val="00D00879"/>
    <w:rsid w:val="00D00EB9"/>
    <w:rsid w:val="00D0213F"/>
    <w:rsid w:val="00D0277B"/>
    <w:rsid w:val="00D02ED6"/>
    <w:rsid w:val="00D0360E"/>
    <w:rsid w:val="00D03B08"/>
    <w:rsid w:val="00D04450"/>
    <w:rsid w:val="00D046B3"/>
    <w:rsid w:val="00D047A0"/>
    <w:rsid w:val="00D04886"/>
    <w:rsid w:val="00D04C3C"/>
    <w:rsid w:val="00D050BD"/>
    <w:rsid w:val="00D055B7"/>
    <w:rsid w:val="00D0592A"/>
    <w:rsid w:val="00D061BA"/>
    <w:rsid w:val="00D1007E"/>
    <w:rsid w:val="00D102A4"/>
    <w:rsid w:val="00D1096A"/>
    <w:rsid w:val="00D11057"/>
    <w:rsid w:val="00D11383"/>
    <w:rsid w:val="00D11BF0"/>
    <w:rsid w:val="00D11BF2"/>
    <w:rsid w:val="00D11F22"/>
    <w:rsid w:val="00D12575"/>
    <w:rsid w:val="00D12E1C"/>
    <w:rsid w:val="00D13862"/>
    <w:rsid w:val="00D144B3"/>
    <w:rsid w:val="00D14832"/>
    <w:rsid w:val="00D158E5"/>
    <w:rsid w:val="00D15A44"/>
    <w:rsid w:val="00D15C59"/>
    <w:rsid w:val="00D172F8"/>
    <w:rsid w:val="00D1775C"/>
    <w:rsid w:val="00D20381"/>
    <w:rsid w:val="00D2192A"/>
    <w:rsid w:val="00D21A6B"/>
    <w:rsid w:val="00D21B97"/>
    <w:rsid w:val="00D21C39"/>
    <w:rsid w:val="00D22165"/>
    <w:rsid w:val="00D229F9"/>
    <w:rsid w:val="00D23565"/>
    <w:rsid w:val="00D2357E"/>
    <w:rsid w:val="00D2393F"/>
    <w:rsid w:val="00D23B2A"/>
    <w:rsid w:val="00D24707"/>
    <w:rsid w:val="00D2500B"/>
    <w:rsid w:val="00D25B58"/>
    <w:rsid w:val="00D25D33"/>
    <w:rsid w:val="00D25D81"/>
    <w:rsid w:val="00D260DB"/>
    <w:rsid w:val="00D268C4"/>
    <w:rsid w:val="00D27233"/>
    <w:rsid w:val="00D2766B"/>
    <w:rsid w:val="00D30056"/>
    <w:rsid w:val="00D3074A"/>
    <w:rsid w:val="00D30F3D"/>
    <w:rsid w:val="00D31F9A"/>
    <w:rsid w:val="00D3255D"/>
    <w:rsid w:val="00D32F0B"/>
    <w:rsid w:val="00D334E2"/>
    <w:rsid w:val="00D339F3"/>
    <w:rsid w:val="00D34076"/>
    <w:rsid w:val="00D34BCF"/>
    <w:rsid w:val="00D354A6"/>
    <w:rsid w:val="00D35AFF"/>
    <w:rsid w:val="00D35E20"/>
    <w:rsid w:val="00D400D5"/>
    <w:rsid w:val="00D4037B"/>
    <w:rsid w:val="00D405CE"/>
    <w:rsid w:val="00D40A20"/>
    <w:rsid w:val="00D424A8"/>
    <w:rsid w:val="00D436FC"/>
    <w:rsid w:val="00D43C08"/>
    <w:rsid w:val="00D43F7C"/>
    <w:rsid w:val="00D44207"/>
    <w:rsid w:val="00D44422"/>
    <w:rsid w:val="00D44534"/>
    <w:rsid w:val="00D449A9"/>
    <w:rsid w:val="00D4592A"/>
    <w:rsid w:val="00D46952"/>
    <w:rsid w:val="00D47255"/>
    <w:rsid w:val="00D47728"/>
    <w:rsid w:val="00D479F3"/>
    <w:rsid w:val="00D47D59"/>
    <w:rsid w:val="00D500DE"/>
    <w:rsid w:val="00D51036"/>
    <w:rsid w:val="00D5242B"/>
    <w:rsid w:val="00D5329E"/>
    <w:rsid w:val="00D5419B"/>
    <w:rsid w:val="00D54818"/>
    <w:rsid w:val="00D54836"/>
    <w:rsid w:val="00D54EE8"/>
    <w:rsid w:val="00D54FC8"/>
    <w:rsid w:val="00D5504F"/>
    <w:rsid w:val="00D5519D"/>
    <w:rsid w:val="00D55C05"/>
    <w:rsid w:val="00D55CF5"/>
    <w:rsid w:val="00D57181"/>
    <w:rsid w:val="00D574BC"/>
    <w:rsid w:val="00D579E8"/>
    <w:rsid w:val="00D57CE3"/>
    <w:rsid w:val="00D605EA"/>
    <w:rsid w:val="00D60CB8"/>
    <w:rsid w:val="00D60DEC"/>
    <w:rsid w:val="00D61D21"/>
    <w:rsid w:val="00D6262B"/>
    <w:rsid w:val="00D62E42"/>
    <w:rsid w:val="00D63B89"/>
    <w:rsid w:val="00D63C40"/>
    <w:rsid w:val="00D644C1"/>
    <w:rsid w:val="00D6465F"/>
    <w:rsid w:val="00D64BAE"/>
    <w:rsid w:val="00D6531C"/>
    <w:rsid w:val="00D66AEC"/>
    <w:rsid w:val="00D67201"/>
    <w:rsid w:val="00D67614"/>
    <w:rsid w:val="00D678B5"/>
    <w:rsid w:val="00D70105"/>
    <w:rsid w:val="00D7040B"/>
    <w:rsid w:val="00D71737"/>
    <w:rsid w:val="00D7291F"/>
    <w:rsid w:val="00D73308"/>
    <w:rsid w:val="00D733DD"/>
    <w:rsid w:val="00D7392F"/>
    <w:rsid w:val="00D74453"/>
    <w:rsid w:val="00D74721"/>
    <w:rsid w:val="00D75490"/>
    <w:rsid w:val="00D75F07"/>
    <w:rsid w:val="00D760ED"/>
    <w:rsid w:val="00D76BE7"/>
    <w:rsid w:val="00D76C4B"/>
    <w:rsid w:val="00D776A6"/>
    <w:rsid w:val="00D7788A"/>
    <w:rsid w:val="00D77BF1"/>
    <w:rsid w:val="00D80D3D"/>
    <w:rsid w:val="00D810BD"/>
    <w:rsid w:val="00D812F1"/>
    <w:rsid w:val="00D81576"/>
    <w:rsid w:val="00D81965"/>
    <w:rsid w:val="00D81A10"/>
    <w:rsid w:val="00D81AFA"/>
    <w:rsid w:val="00D82D1E"/>
    <w:rsid w:val="00D82E8E"/>
    <w:rsid w:val="00D82F53"/>
    <w:rsid w:val="00D83B03"/>
    <w:rsid w:val="00D83D21"/>
    <w:rsid w:val="00D84275"/>
    <w:rsid w:val="00D85590"/>
    <w:rsid w:val="00D85868"/>
    <w:rsid w:val="00D85D15"/>
    <w:rsid w:val="00D863AD"/>
    <w:rsid w:val="00D86993"/>
    <w:rsid w:val="00D86EA9"/>
    <w:rsid w:val="00D8719C"/>
    <w:rsid w:val="00D9002D"/>
    <w:rsid w:val="00D9004C"/>
    <w:rsid w:val="00D9091A"/>
    <w:rsid w:val="00D915E7"/>
    <w:rsid w:val="00D91806"/>
    <w:rsid w:val="00D9185C"/>
    <w:rsid w:val="00D91A93"/>
    <w:rsid w:val="00D931A8"/>
    <w:rsid w:val="00D936E6"/>
    <w:rsid w:val="00D93B44"/>
    <w:rsid w:val="00D94876"/>
    <w:rsid w:val="00D94E69"/>
    <w:rsid w:val="00D95544"/>
    <w:rsid w:val="00D95DA4"/>
    <w:rsid w:val="00D960D9"/>
    <w:rsid w:val="00D965FB"/>
    <w:rsid w:val="00D96618"/>
    <w:rsid w:val="00D972E1"/>
    <w:rsid w:val="00D97620"/>
    <w:rsid w:val="00D97F7C"/>
    <w:rsid w:val="00DA17ED"/>
    <w:rsid w:val="00DA1BB9"/>
    <w:rsid w:val="00DA1FC7"/>
    <w:rsid w:val="00DA2992"/>
    <w:rsid w:val="00DA2F57"/>
    <w:rsid w:val="00DA32EB"/>
    <w:rsid w:val="00DA352A"/>
    <w:rsid w:val="00DA3BFA"/>
    <w:rsid w:val="00DA4036"/>
    <w:rsid w:val="00DA4344"/>
    <w:rsid w:val="00DA4AB1"/>
    <w:rsid w:val="00DA4C97"/>
    <w:rsid w:val="00DA509A"/>
    <w:rsid w:val="00DA57C2"/>
    <w:rsid w:val="00DA5862"/>
    <w:rsid w:val="00DA5D10"/>
    <w:rsid w:val="00DA7913"/>
    <w:rsid w:val="00DB04AB"/>
    <w:rsid w:val="00DB1344"/>
    <w:rsid w:val="00DB233F"/>
    <w:rsid w:val="00DB4B10"/>
    <w:rsid w:val="00DB56EB"/>
    <w:rsid w:val="00DB64D5"/>
    <w:rsid w:val="00DB6692"/>
    <w:rsid w:val="00DB68E1"/>
    <w:rsid w:val="00DC0CA6"/>
    <w:rsid w:val="00DC10E5"/>
    <w:rsid w:val="00DC13C5"/>
    <w:rsid w:val="00DC1443"/>
    <w:rsid w:val="00DC2018"/>
    <w:rsid w:val="00DC23D1"/>
    <w:rsid w:val="00DC36F3"/>
    <w:rsid w:val="00DC730D"/>
    <w:rsid w:val="00DC749A"/>
    <w:rsid w:val="00DC79CD"/>
    <w:rsid w:val="00DC7FDC"/>
    <w:rsid w:val="00DD09D1"/>
    <w:rsid w:val="00DD0CF7"/>
    <w:rsid w:val="00DD0E13"/>
    <w:rsid w:val="00DD187F"/>
    <w:rsid w:val="00DD1DFD"/>
    <w:rsid w:val="00DD2685"/>
    <w:rsid w:val="00DD29FC"/>
    <w:rsid w:val="00DD37E8"/>
    <w:rsid w:val="00DD39C1"/>
    <w:rsid w:val="00DD3DF2"/>
    <w:rsid w:val="00DD406E"/>
    <w:rsid w:val="00DD4A9C"/>
    <w:rsid w:val="00DD540C"/>
    <w:rsid w:val="00DD602E"/>
    <w:rsid w:val="00DD6301"/>
    <w:rsid w:val="00DD63A0"/>
    <w:rsid w:val="00DD68C4"/>
    <w:rsid w:val="00DD6A41"/>
    <w:rsid w:val="00DD6B8E"/>
    <w:rsid w:val="00DD751E"/>
    <w:rsid w:val="00DE024C"/>
    <w:rsid w:val="00DE0329"/>
    <w:rsid w:val="00DE08A8"/>
    <w:rsid w:val="00DE0A13"/>
    <w:rsid w:val="00DE0F2D"/>
    <w:rsid w:val="00DE12B0"/>
    <w:rsid w:val="00DE1A93"/>
    <w:rsid w:val="00DE20DC"/>
    <w:rsid w:val="00DE2B1D"/>
    <w:rsid w:val="00DE32C9"/>
    <w:rsid w:val="00DE3695"/>
    <w:rsid w:val="00DE38B8"/>
    <w:rsid w:val="00DE3A29"/>
    <w:rsid w:val="00DE3EBF"/>
    <w:rsid w:val="00DE451F"/>
    <w:rsid w:val="00DE4BA2"/>
    <w:rsid w:val="00DE4C6F"/>
    <w:rsid w:val="00DE5230"/>
    <w:rsid w:val="00DE54D4"/>
    <w:rsid w:val="00DE552D"/>
    <w:rsid w:val="00DE569B"/>
    <w:rsid w:val="00DE5A1D"/>
    <w:rsid w:val="00DE665D"/>
    <w:rsid w:val="00DE738F"/>
    <w:rsid w:val="00DE7D57"/>
    <w:rsid w:val="00DF0711"/>
    <w:rsid w:val="00DF1163"/>
    <w:rsid w:val="00DF1D7E"/>
    <w:rsid w:val="00DF208A"/>
    <w:rsid w:val="00DF2250"/>
    <w:rsid w:val="00DF2E4E"/>
    <w:rsid w:val="00DF2F9D"/>
    <w:rsid w:val="00DF398C"/>
    <w:rsid w:val="00DF3EE3"/>
    <w:rsid w:val="00DF4057"/>
    <w:rsid w:val="00DF51C4"/>
    <w:rsid w:val="00DF568A"/>
    <w:rsid w:val="00DF569E"/>
    <w:rsid w:val="00DF5ECC"/>
    <w:rsid w:val="00DF65C7"/>
    <w:rsid w:val="00DF6731"/>
    <w:rsid w:val="00DF697B"/>
    <w:rsid w:val="00DF6BC0"/>
    <w:rsid w:val="00DF6DFC"/>
    <w:rsid w:val="00DF7D30"/>
    <w:rsid w:val="00E00088"/>
    <w:rsid w:val="00E006BF"/>
    <w:rsid w:val="00E008E1"/>
    <w:rsid w:val="00E0251E"/>
    <w:rsid w:val="00E02574"/>
    <w:rsid w:val="00E025CC"/>
    <w:rsid w:val="00E028C0"/>
    <w:rsid w:val="00E02C4C"/>
    <w:rsid w:val="00E02ECF"/>
    <w:rsid w:val="00E04F50"/>
    <w:rsid w:val="00E04F51"/>
    <w:rsid w:val="00E05855"/>
    <w:rsid w:val="00E0593B"/>
    <w:rsid w:val="00E06442"/>
    <w:rsid w:val="00E10063"/>
    <w:rsid w:val="00E11EE1"/>
    <w:rsid w:val="00E12150"/>
    <w:rsid w:val="00E12534"/>
    <w:rsid w:val="00E13B46"/>
    <w:rsid w:val="00E1496C"/>
    <w:rsid w:val="00E14D0B"/>
    <w:rsid w:val="00E1517A"/>
    <w:rsid w:val="00E1535E"/>
    <w:rsid w:val="00E169E2"/>
    <w:rsid w:val="00E20344"/>
    <w:rsid w:val="00E204FD"/>
    <w:rsid w:val="00E210D6"/>
    <w:rsid w:val="00E217FC"/>
    <w:rsid w:val="00E21A42"/>
    <w:rsid w:val="00E21D8B"/>
    <w:rsid w:val="00E23317"/>
    <w:rsid w:val="00E24101"/>
    <w:rsid w:val="00E24468"/>
    <w:rsid w:val="00E24B56"/>
    <w:rsid w:val="00E24CBA"/>
    <w:rsid w:val="00E25954"/>
    <w:rsid w:val="00E25FBC"/>
    <w:rsid w:val="00E2670B"/>
    <w:rsid w:val="00E3030A"/>
    <w:rsid w:val="00E309FC"/>
    <w:rsid w:val="00E30AC0"/>
    <w:rsid w:val="00E30AD1"/>
    <w:rsid w:val="00E31403"/>
    <w:rsid w:val="00E31A1D"/>
    <w:rsid w:val="00E31C89"/>
    <w:rsid w:val="00E32C14"/>
    <w:rsid w:val="00E33931"/>
    <w:rsid w:val="00E339B1"/>
    <w:rsid w:val="00E3503F"/>
    <w:rsid w:val="00E3509D"/>
    <w:rsid w:val="00E35EB6"/>
    <w:rsid w:val="00E3606C"/>
    <w:rsid w:val="00E36D28"/>
    <w:rsid w:val="00E37470"/>
    <w:rsid w:val="00E37978"/>
    <w:rsid w:val="00E40417"/>
    <w:rsid w:val="00E419B1"/>
    <w:rsid w:val="00E41C96"/>
    <w:rsid w:val="00E41D2C"/>
    <w:rsid w:val="00E42031"/>
    <w:rsid w:val="00E42958"/>
    <w:rsid w:val="00E42D57"/>
    <w:rsid w:val="00E42FEC"/>
    <w:rsid w:val="00E4301B"/>
    <w:rsid w:val="00E4340E"/>
    <w:rsid w:val="00E435CD"/>
    <w:rsid w:val="00E43B18"/>
    <w:rsid w:val="00E46C3E"/>
    <w:rsid w:val="00E46C44"/>
    <w:rsid w:val="00E47044"/>
    <w:rsid w:val="00E47406"/>
    <w:rsid w:val="00E477D5"/>
    <w:rsid w:val="00E47AE2"/>
    <w:rsid w:val="00E502CC"/>
    <w:rsid w:val="00E5070E"/>
    <w:rsid w:val="00E50A12"/>
    <w:rsid w:val="00E50D40"/>
    <w:rsid w:val="00E50DEB"/>
    <w:rsid w:val="00E51B26"/>
    <w:rsid w:val="00E52723"/>
    <w:rsid w:val="00E52825"/>
    <w:rsid w:val="00E52E3E"/>
    <w:rsid w:val="00E53742"/>
    <w:rsid w:val="00E54935"/>
    <w:rsid w:val="00E549F8"/>
    <w:rsid w:val="00E55428"/>
    <w:rsid w:val="00E557FE"/>
    <w:rsid w:val="00E55A3D"/>
    <w:rsid w:val="00E55B26"/>
    <w:rsid w:val="00E562CE"/>
    <w:rsid w:val="00E569A2"/>
    <w:rsid w:val="00E56A74"/>
    <w:rsid w:val="00E56A98"/>
    <w:rsid w:val="00E57B06"/>
    <w:rsid w:val="00E57ED3"/>
    <w:rsid w:val="00E57EF5"/>
    <w:rsid w:val="00E57F45"/>
    <w:rsid w:val="00E60087"/>
    <w:rsid w:val="00E60538"/>
    <w:rsid w:val="00E60A95"/>
    <w:rsid w:val="00E616BF"/>
    <w:rsid w:val="00E6462B"/>
    <w:rsid w:val="00E6496C"/>
    <w:rsid w:val="00E664EC"/>
    <w:rsid w:val="00E670AE"/>
    <w:rsid w:val="00E67C68"/>
    <w:rsid w:val="00E70B1F"/>
    <w:rsid w:val="00E715A1"/>
    <w:rsid w:val="00E71C60"/>
    <w:rsid w:val="00E72D28"/>
    <w:rsid w:val="00E73BE5"/>
    <w:rsid w:val="00E74068"/>
    <w:rsid w:val="00E74342"/>
    <w:rsid w:val="00E7463E"/>
    <w:rsid w:val="00E748EE"/>
    <w:rsid w:val="00E74985"/>
    <w:rsid w:val="00E768CA"/>
    <w:rsid w:val="00E76B90"/>
    <w:rsid w:val="00E777EB"/>
    <w:rsid w:val="00E77C18"/>
    <w:rsid w:val="00E80698"/>
    <w:rsid w:val="00E80B34"/>
    <w:rsid w:val="00E817D4"/>
    <w:rsid w:val="00E81E40"/>
    <w:rsid w:val="00E820C5"/>
    <w:rsid w:val="00E82B2B"/>
    <w:rsid w:val="00E82DB8"/>
    <w:rsid w:val="00E83172"/>
    <w:rsid w:val="00E83272"/>
    <w:rsid w:val="00E83EE8"/>
    <w:rsid w:val="00E83EF7"/>
    <w:rsid w:val="00E841E5"/>
    <w:rsid w:val="00E855F2"/>
    <w:rsid w:val="00E864A5"/>
    <w:rsid w:val="00E8681F"/>
    <w:rsid w:val="00E8685F"/>
    <w:rsid w:val="00E877AE"/>
    <w:rsid w:val="00E8799D"/>
    <w:rsid w:val="00E90257"/>
    <w:rsid w:val="00E902B1"/>
    <w:rsid w:val="00E907D7"/>
    <w:rsid w:val="00E9210D"/>
    <w:rsid w:val="00E92BFF"/>
    <w:rsid w:val="00E92E46"/>
    <w:rsid w:val="00E931C9"/>
    <w:rsid w:val="00E93254"/>
    <w:rsid w:val="00E93E2D"/>
    <w:rsid w:val="00E94049"/>
    <w:rsid w:val="00E9494B"/>
    <w:rsid w:val="00E9545C"/>
    <w:rsid w:val="00E9577D"/>
    <w:rsid w:val="00E95ABB"/>
    <w:rsid w:val="00E96302"/>
    <w:rsid w:val="00E96755"/>
    <w:rsid w:val="00E96854"/>
    <w:rsid w:val="00E96993"/>
    <w:rsid w:val="00E96B26"/>
    <w:rsid w:val="00E97680"/>
    <w:rsid w:val="00E97C47"/>
    <w:rsid w:val="00EA1048"/>
    <w:rsid w:val="00EA104B"/>
    <w:rsid w:val="00EA2AC1"/>
    <w:rsid w:val="00EA2D19"/>
    <w:rsid w:val="00EA3214"/>
    <w:rsid w:val="00EA4743"/>
    <w:rsid w:val="00EA573C"/>
    <w:rsid w:val="00EA5CF3"/>
    <w:rsid w:val="00EA5D1E"/>
    <w:rsid w:val="00EA6449"/>
    <w:rsid w:val="00EA648C"/>
    <w:rsid w:val="00EA660E"/>
    <w:rsid w:val="00EA6766"/>
    <w:rsid w:val="00EA6ACF"/>
    <w:rsid w:val="00EA72D6"/>
    <w:rsid w:val="00EA7D64"/>
    <w:rsid w:val="00EB05AF"/>
    <w:rsid w:val="00EB0CC5"/>
    <w:rsid w:val="00EB0F5E"/>
    <w:rsid w:val="00EB11EE"/>
    <w:rsid w:val="00EB2AAD"/>
    <w:rsid w:val="00EB2D44"/>
    <w:rsid w:val="00EB2EE8"/>
    <w:rsid w:val="00EB3149"/>
    <w:rsid w:val="00EB411F"/>
    <w:rsid w:val="00EB437B"/>
    <w:rsid w:val="00EB4874"/>
    <w:rsid w:val="00EB4965"/>
    <w:rsid w:val="00EB50C2"/>
    <w:rsid w:val="00EB52E9"/>
    <w:rsid w:val="00EB5A9D"/>
    <w:rsid w:val="00EB6724"/>
    <w:rsid w:val="00EB7EAD"/>
    <w:rsid w:val="00EC0266"/>
    <w:rsid w:val="00EC078D"/>
    <w:rsid w:val="00EC0ADD"/>
    <w:rsid w:val="00EC1A05"/>
    <w:rsid w:val="00EC2F14"/>
    <w:rsid w:val="00EC39F0"/>
    <w:rsid w:val="00EC447E"/>
    <w:rsid w:val="00EC47B2"/>
    <w:rsid w:val="00EC4C1A"/>
    <w:rsid w:val="00EC4E7F"/>
    <w:rsid w:val="00EC5C6A"/>
    <w:rsid w:val="00EC6DB1"/>
    <w:rsid w:val="00EC702D"/>
    <w:rsid w:val="00EC7F71"/>
    <w:rsid w:val="00ED1385"/>
    <w:rsid w:val="00ED14F9"/>
    <w:rsid w:val="00ED1C83"/>
    <w:rsid w:val="00ED1F59"/>
    <w:rsid w:val="00ED2A54"/>
    <w:rsid w:val="00ED2B95"/>
    <w:rsid w:val="00ED2D7D"/>
    <w:rsid w:val="00ED3031"/>
    <w:rsid w:val="00ED306D"/>
    <w:rsid w:val="00ED3AD2"/>
    <w:rsid w:val="00ED4418"/>
    <w:rsid w:val="00ED52D4"/>
    <w:rsid w:val="00ED5E93"/>
    <w:rsid w:val="00ED606A"/>
    <w:rsid w:val="00ED61B5"/>
    <w:rsid w:val="00ED69B1"/>
    <w:rsid w:val="00ED7300"/>
    <w:rsid w:val="00EE1003"/>
    <w:rsid w:val="00EE1177"/>
    <w:rsid w:val="00EE1705"/>
    <w:rsid w:val="00EE211A"/>
    <w:rsid w:val="00EE332C"/>
    <w:rsid w:val="00EE4211"/>
    <w:rsid w:val="00EE4709"/>
    <w:rsid w:val="00EE5886"/>
    <w:rsid w:val="00EE6241"/>
    <w:rsid w:val="00EE68AC"/>
    <w:rsid w:val="00EE6A20"/>
    <w:rsid w:val="00EE7372"/>
    <w:rsid w:val="00EF0197"/>
    <w:rsid w:val="00EF06F0"/>
    <w:rsid w:val="00EF0988"/>
    <w:rsid w:val="00EF19A8"/>
    <w:rsid w:val="00EF1BFD"/>
    <w:rsid w:val="00EF1D60"/>
    <w:rsid w:val="00EF1E41"/>
    <w:rsid w:val="00EF24AD"/>
    <w:rsid w:val="00EF42F9"/>
    <w:rsid w:val="00EF43B7"/>
    <w:rsid w:val="00EF4A3D"/>
    <w:rsid w:val="00EF5838"/>
    <w:rsid w:val="00EF5AA9"/>
    <w:rsid w:val="00EF63D2"/>
    <w:rsid w:val="00EF6BF9"/>
    <w:rsid w:val="00EF6CBE"/>
    <w:rsid w:val="00EF6DA2"/>
    <w:rsid w:val="00EF79DF"/>
    <w:rsid w:val="00EF7F43"/>
    <w:rsid w:val="00EF7F56"/>
    <w:rsid w:val="00F002E0"/>
    <w:rsid w:val="00F0055C"/>
    <w:rsid w:val="00F0085D"/>
    <w:rsid w:val="00F01A47"/>
    <w:rsid w:val="00F01F8C"/>
    <w:rsid w:val="00F02CE7"/>
    <w:rsid w:val="00F035B9"/>
    <w:rsid w:val="00F03902"/>
    <w:rsid w:val="00F046A9"/>
    <w:rsid w:val="00F04ECE"/>
    <w:rsid w:val="00F0520B"/>
    <w:rsid w:val="00F05CFC"/>
    <w:rsid w:val="00F05E0B"/>
    <w:rsid w:val="00F05EA3"/>
    <w:rsid w:val="00F063C3"/>
    <w:rsid w:val="00F07018"/>
    <w:rsid w:val="00F079DD"/>
    <w:rsid w:val="00F103DA"/>
    <w:rsid w:val="00F10727"/>
    <w:rsid w:val="00F10892"/>
    <w:rsid w:val="00F114CD"/>
    <w:rsid w:val="00F115D7"/>
    <w:rsid w:val="00F11BEA"/>
    <w:rsid w:val="00F12287"/>
    <w:rsid w:val="00F132E4"/>
    <w:rsid w:val="00F13540"/>
    <w:rsid w:val="00F142C4"/>
    <w:rsid w:val="00F14D16"/>
    <w:rsid w:val="00F16194"/>
    <w:rsid w:val="00F16A10"/>
    <w:rsid w:val="00F16B10"/>
    <w:rsid w:val="00F17226"/>
    <w:rsid w:val="00F17326"/>
    <w:rsid w:val="00F17372"/>
    <w:rsid w:val="00F1740F"/>
    <w:rsid w:val="00F179D8"/>
    <w:rsid w:val="00F2028F"/>
    <w:rsid w:val="00F20707"/>
    <w:rsid w:val="00F21613"/>
    <w:rsid w:val="00F22788"/>
    <w:rsid w:val="00F22862"/>
    <w:rsid w:val="00F22AEF"/>
    <w:rsid w:val="00F23D32"/>
    <w:rsid w:val="00F254E9"/>
    <w:rsid w:val="00F25F82"/>
    <w:rsid w:val="00F26076"/>
    <w:rsid w:val="00F26522"/>
    <w:rsid w:val="00F2694F"/>
    <w:rsid w:val="00F26CE1"/>
    <w:rsid w:val="00F26F58"/>
    <w:rsid w:val="00F279E2"/>
    <w:rsid w:val="00F30016"/>
    <w:rsid w:val="00F30A9C"/>
    <w:rsid w:val="00F319F3"/>
    <w:rsid w:val="00F31C8A"/>
    <w:rsid w:val="00F31EA6"/>
    <w:rsid w:val="00F32762"/>
    <w:rsid w:val="00F32F42"/>
    <w:rsid w:val="00F33F09"/>
    <w:rsid w:val="00F34176"/>
    <w:rsid w:val="00F3478F"/>
    <w:rsid w:val="00F34812"/>
    <w:rsid w:val="00F348D6"/>
    <w:rsid w:val="00F34EA3"/>
    <w:rsid w:val="00F34EB0"/>
    <w:rsid w:val="00F3535C"/>
    <w:rsid w:val="00F366CD"/>
    <w:rsid w:val="00F372C9"/>
    <w:rsid w:val="00F40423"/>
    <w:rsid w:val="00F40444"/>
    <w:rsid w:val="00F4102A"/>
    <w:rsid w:val="00F4115A"/>
    <w:rsid w:val="00F41D2E"/>
    <w:rsid w:val="00F43B8C"/>
    <w:rsid w:val="00F43F24"/>
    <w:rsid w:val="00F447FB"/>
    <w:rsid w:val="00F4565E"/>
    <w:rsid w:val="00F46602"/>
    <w:rsid w:val="00F46AB5"/>
    <w:rsid w:val="00F46EBD"/>
    <w:rsid w:val="00F47034"/>
    <w:rsid w:val="00F4708C"/>
    <w:rsid w:val="00F473A2"/>
    <w:rsid w:val="00F50DB0"/>
    <w:rsid w:val="00F50E50"/>
    <w:rsid w:val="00F515B8"/>
    <w:rsid w:val="00F52089"/>
    <w:rsid w:val="00F530BD"/>
    <w:rsid w:val="00F5313D"/>
    <w:rsid w:val="00F53189"/>
    <w:rsid w:val="00F535A5"/>
    <w:rsid w:val="00F5381B"/>
    <w:rsid w:val="00F54AF9"/>
    <w:rsid w:val="00F54D49"/>
    <w:rsid w:val="00F54D4D"/>
    <w:rsid w:val="00F553D7"/>
    <w:rsid w:val="00F55A99"/>
    <w:rsid w:val="00F564D3"/>
    <w:rsid w:val="00F5680A"/>
    <w:rsid w:val="00F569B0"/>
    <w:rsid w:val="00F56ACB"/>
    <w:rsid w:val="00F57B2D"/>
    <w:rsid w:val="00F57B5B"/>
    <w:rsid w:val="00F60551"/>
    <w:rsid w:val="00F609C6"/>
    <w:rsid w:val="00F60AB8"/>
    <w:rsid w:val="00F60D6A"/>
    <w:rsid w:val="00F60F12"/>
    <w:rsid w:val="00F61A8A"/>
    <w:rsid w:val="00F62556"/>
    <w:rsid w:val="00F62B9B"/>
    <w:rsid w:val="00F62DAB"/>
    <w:rsid w:val="00F62F1B"/>
    <w:rsid w:val="00F632C2"/>
    <w:rsid w:val="00F638B1"/>
    <w:rsid w:val="00F6405B"/>
    <w:rsid w:val="00F64C13"/>
    <w:rsid w:val="00F64E6F"/>
    <w:rsid w:val="00F64E76"/>
    <w:rsid w:val="00F654DF"/>
    <w:rsid w:val="00F66186"/>
    <w:rsid w:val="00F66972"/>
    <w:rsid w:val="00F66B74"/>
    <w:rsid w:val="00F70449"/>
    <w:rsid w:val="00F705A9"/>
    <w:rsid w:val="00F70934"/>
    <w:rsid w:val="00F709ED"/>
    <w:rsid w:val="00F70B4E"/>
    <w:rsid w:val="00F70E32"/>
    <w:rsid w:val="00F72462"/>
    <w:rsid w:val="00F72E96"/>
    <w:rsid w:val="00F73322"/>
    <w:rsid w:val="00F743D9"/>
    <w:rsid w:val="00F74E59"/>
    <w:rsid w:val="00F752F4"/>
    <w:rsid w:val="00F75D7C"/>
    <w:rsid w:val="00F75F7F"/>
    <w:rsid w:val="00F7659C"/>
    <w:rsid w:val="00F76DDB"/>
    <w:rsid w:val="00F77144"/>
    <w:rsid w:val="00F8006F"/>
    <w:rsid w:val="00F80340"/>
    <w:rsid w:val="00F80881"/>
    <w:rsid w:val="00F81065"/>
    <w:rsid w:val="00F8112E"/>
    <w:rsid w:val="00F812D5"/>
    <w:rsid w:val="00F8166D"/>
    <w:rsid w:val="00F81854"/>
    <w:rsid w:val="00F81B73"/>
    <w:rsid w:val="00F8243B"/>
    <w:rsid w:val="00F82A13"/>
    <w:rsid w:val="00F82C60"/>
    <w:rsid w:val="00F83F1E"/>
    <w:rsid w:val="00F84088"/>
    <w:rsid w:val="00F84D25"/>
    <w:rsid w:val="00F85867"/>
    <w:rsid w:val="00F859A0"/>
    <w:rsid w:val="00F8608C"/>
    <w:rsid w:val="00F8618A"/>
    <w:rsid w:val="00F86940"/>
    <w:rsid w:val="00F87D3B"/>
    <w:rsid w:val="00F9001F"/>
    <w:rsid w:val="00F90D0C"/>
    <w:rsid w:val="00F90FD4"/>
    <w:rsid w:val="00F91CA5"/>
    <w:rsid w:val="00F91FB5"/>
    <w:rsid w:val="00F92945"/>
    <w:rsid w:val="00F93B5F"/>
    <w:rsid w:val="00F94042"/>
    <w:rsid w:val="00F94B8F"/>
    <w:rsid w:val="00F9591E"/>
    <w:rsid w:val="00F95951"/>
    <w:rsid w:val="00F95BAE"/>
    <w:rsid w:val="00F95D32"/>
    <w:rsid w:val="00F95E96"/>
    <w:rsid w:val="00F979EE"/>
    <w:rsid w:val="00F97A50"/>
    <w:rsid w:val="00F97CAE"/>
    <w:rsid w:val="00FA0791"/>
    <w:rsid w:val="00FA1600"/>
    <w:rsid w:val="00FA1AF9"/>
    <w:rsid w:val="00FA1D93"/>
    <w:rsid w:val="00FA2156"/>
    <w:rsid w:val="00FA2705"/>
    <w:rsid w:val="00FA3E99"/>
    <w:rsid w:val="00FA4630"/>
    <w:rsid w:val="00FA53D3"/>
    <w:rsid w:val="00FA590C"/>
    <w:rsid w:val="00FA5AAF"/>
    <w:rsid w:val="00FA67F7"/>
    <w:rsid w:val="00FA7065"/>
    <w:rsid w:val="00FA7A81"/>
    <w:rsid w:val="00FB0053"/>
    <w:rsid w:val="00FB0DE5"/>
    <w:rsid w:val="00FB1567"/>
    <w:rsid w:val="00FB22E1"/>
    <w:rsid w:val="00FB37A6"/>
    <w:rsid w:val="00FB38A7"/>
    <w:rsid w:val="00FB4AEC"/>
    <w:rsid w:val="00FB6010"/>
    <w:rsid w:val="00FB6467"/>
    <w:rsid w:val="00FB655F"/>
    <w:rsid w:val="00FB6C20"/>
    <w:rsid w:val="00FB6D04"/>
    <w:rsid w:val="00FB6D19"/>
    <w:rsid w:val="00FB6FB0"/>
    <w:rsid w:val="00FC014B"/>
    <w:rsid w:val="00FC0270"/>
    <w:rsid w:val="00FC04DA"/>
    <w:rsid w:val="00FC069C"/>
    <w:rsid w:val="00FC0754"/>
    <w:rsid w:val="00FC0820"/>
    <w:rsid w:val="00FC0912"/>
    <w:rsid w:val="00FC0C5B"/>
    <w:rsid w:val="00FC0CF7"/>
    <w:rsid w:val="00FC114E"/>
    <w:rsid w:val="00FC1F10"/>
    <w:rsid w:val="00FC2072"/>
    <w:rsid w:val="00FC2F0A"/>
    <w:rsid w:val="00FC2F9A"/>
    <w:rsid w:val="00FC322C"/>
    <w:rsid w:val="00FC345D"/>
    <w:rsid w:val="00FC3808"/>
    <w:rsid w:val="00FC38F8"/>
    <w:rsid w:val="00FC3A0E"/>
    <w:rsid w:val="00FC56D3"/>
    <w:rsid w:val="00FC6000"/>
    <w:rsid w:val="00FC63F6"/>
    <w:rsid w:val="00FC702A"/>
    <w:rsid w:val="00FC72BE"/>
    <w:rsid w:val="00FD0088"/>
    <w:rsid w:val="00FD074A"/>
    <w:rsid w:val="00FD0F12"/>
    <w:rsid w:val="00FD1598"/>
    <w:rsid w:val="00FD1FBA"/>
    <w:rsid w:val="00FD24FC"/>
    <w:rsid w:val="00FD2691"/>
    <w:rsid w:val="00FD28C9"/>
    <w:rsid w:val="00FD307F"/>
    <w:rsid w:val="00FD329D"/>
    <w:rsid w:val="00FD38F5"/>
    <w:rsid w:val="00FD4DF5"/>
    <w:rsid w:val="00FD4E31"/>
    <w:rsid w:val="00FD5104"/>
    <w:rsid w:val="00FD5896"/>
    <w:rsid w:val="00FD5A23"/>
    <w:rsid w:val="00FD5E61"/>
    <w:rsid w:val="00FD621A"/>
    <w:rsid w:val="00FD64A6"/>
    <w:rsid w:val="00FD79A5"/>
    <w:rsid w:val="00FE024D"/>
    <w:rsid w:val="00FE09FE"/>
    <w:rsid w:val="00FE2D1E"/>
    <w:rsid w:val="00FE31D5"/>
    <w:rsid w:val="00FE3924"/>
    <w:rsid w:val="00FE3A24"/>
    <w:rsid w:val="00FE443C"/>
    <w:rsid w:val="00FE484B"/>
    <w:rsid w:val="00FE49AF"/>
    <w:rsid w:val="00FE505B"/>
    <w:rsid w:val="00FE5C21"/>
    <w:rsid w:val="00FE610A"/>
    <w:rsid w:val="00FE656B"/>
    <w:rsid w:val="00FE68E9"/>
    <w:rsid w:val="00FE6AEC"/>
    <w:rsid w:val="00FF0DB5"/>
    <w:rsid w:val="00FF1133"/>
    <w:rsid w:val="00FF11B0"/>
    <w:rsid w:val="00FF1D13"/>
    <w:rsid w:val="00FF2BD2"/>
    <w:rsid w:val="00FF2C9C"/>
    <w:rsid w:val="00FF2FCC"/>
    <w:rsid w:val="00FF3145"/>
    <w:rsid w:val="00FF34F1"/>
    <w:rsid w:val="00FF3643"/>
    <w:rsid w:val="00FF38E3"/>
    <w:rsid w:val="00FF40B0"/>
    <w:rsid w:val="00FF41B0"/>
    <w:rsid w:val="00FF4EFC"/>
    <w:rsid w:val="00FF56CA"/>
    <w:rsid w:val="00FF6119"/>
    <w:rsid w:val="00FF633C"/>
    <w:rsid w:val="00FF71D6"/>
    <w:rsid w:val="00FF76A8"/>
    <w:rsid w:val="011F431D"/>
    <w:rsid w:val="1B19E1DD"/>
    <w:rsid w:val="2C60ECC0"/>
    <w:rsid w:val="2D5F23A4"/>
    <w:rsid w:val="333A8BF0"/>
    <w:rsid w:val="4056DA38"/>
    <w:rsid w:val="40DA6054"/>
    <w:rsid w:val="4BF2E195"/>
    <w:rsid w:val="4F26C063"/>
    <w:rsid w:val="5DFAA540"/>
    <w:rsid w:val="5FFA4EDB"/>
    <w:rsid w:val="6E13D60E"/>
    <w:rsid w:val="7E321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D02C"/>
  <w15:docId w15:val="{D9CA261C-F0B8-4236-B658-7E7A8AB5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pPr>
      <w:keepNext/>
      <w:numPr>
        <w:numId w:val="28"/>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pPr>
      <w:keepNext/>
      <w:numPr>
        <w:ilvl w:val="1"/>
        <w:numId w:val="28"/>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pPr>
      <w:keepNext/>
      <w:numPr>
        <w:ilvl w:val="2"/>
        <w:numId w:val="28"/>
      </w:numPr>
      <w:outlineLvl w:val="2"/>
    </w:pPr>
    <w:rPr>
      <w:rFonts w:eastAsiaTheme="majorEastAsia"/>
      <w:bCs/>
      <w:i/>
    </w:rPr>
  </w:style>
  <w:style w:type="paragraph" w:styleId="Pealkiri4">
    <w:name w:val="heading 4"/>
    <w:basedOn w:val="Normaallaad"/>
    <w:next w:val="Text1"/>
    <w:link w:val="Pealkiri4Mrk"/>
    <w:uiPriority w:val="9"/>
    <w:semiHidden/>
    <w:unhideWhenUsed/>
    <w:qFormat/>
    <w:pPr>
      <w:keepNext/>
      <w:numPr>
        <w:ilvl w:val="3"/>
        <w:numId w:val="28"/>
      </w:numPr>
      <w:outlineLvl w:val="3"/>
    </w:pPr>
    <w:rPr>
      <w:rFonts w:eastAsiaTheme="majorEastAsia"/>
      <w:bCs/>
      <w:iCs/>
    </w:rPr>
  </w:style>
  <w:style w:type="paragraph" w:styleId="Pealkiri5">
    <w:name w:val="heading 5"/>
    <w:basedOn w:val="Normaallaad"/>
    <w:next w:val="Text2"/>
    <w:link w:val="Pealkiri5Mrk"/>
    <w:uiPriority w:val="9"/>
    <w:semiHidden/>
    <w:unhideWhenUsed/>
    <w:qFormat/>
    <w:pPr>
      <w:keepNext/>
      <w:numPr>
        <w:ilvl w:val="4"/>
        <w:numId w:val="28"/>
      </w:numPr>
      <w:outlineLvl w:val="4"/>
    </w:pPr>
    <w:rPr>
      <w:rFonts w:eastAsiaTheme="majorEastAsia"/>
    </w:rPr>
  </w:style>
  <w:style w:type="paragraph" w:styleId="Pealkiri6">
    <w:name w:val="heading 6"/>
    <w:basedOn w:val="Normaallaad"/>
    <w:next w:val="Text2"/>
    <w:link w:val="Pealkiri6Mrk"/>
    <w:uiPriority w:val="9"/>
    <w:semiHidden/>
    <w:unhideWhenUsed/>
    <w:qFormat/>
    <w:pPr>
      <w:keepNext/>
      <w:numPr>
        <w:ilvl w:val="5"/>
        <w:numId w:val="28"/>
      </w:numPr>
      <w:outlineLvl w:val="5"/>
    </w:pPr>
    <w:rPr>
      <w:rFonts w:eastAsiaTheme="majorEastAsia"/>
      <w:iCs/>
    </w:rPr>
  </w:style>
  <w:style w:type="paragraph" w:styleId="Pealkiri7">
    <w:name w:val="heading 7"/>
    <w:basedOn w:val="Normaallaad"/>
    <w:next w:val="Text2"/>
    <w:link w:val="Pealkiri7Mrk"/>
    <w:uiPriority w:val="9"/>
    <w:semiHidden/>
    <w:unhideWhenUsed/>
    <w:qFormat/>
    <w:pPr>
      <w:keepNext/>
      <w:numPr>
        <w:ilvl w:val="6"/>
        <w:numId w:val="28"/>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tpp">
    <w:name w:val="List Bullet"/>
    <w:basedOn w:val="Normaallaad"/>
    <w:uiPriority w:val="99"/>
    <w:semiHidden/>
    <w:unhideWhenUsed/>
    <w:rsid w:val="007852BB"/>
    <w:pPr>
      <w:numPr>
        <w:numId w:val="1"/>
      </w:numPr>
      <w:contextualSpacing/>
    </w:pPr>
  </w:style>
  <w:style w:type="paragraph" w:styleId="Loenditpp2">
    <w:name w:val="List Bullet 2"/>
    <w:basedOn w:val="Normaallaad"/>
    <w:uiPriority w:val="99"/>
    <w:semiHidden/>
    <w:unhideWhenUsed/>
    <w:rsid w:val="007852BB"/>
    <w:pPr>
      <w:numPr>
        <w:numId w:val="2"/>
      </w:numPr>
      <w:contextualSpacing/>
    </w:pPr>
  </w:style>
  <w:style w:type="paragraph" w:styleId="Loenditpp3">
    <w:name w:val="List Bullet 3"/>
    <w:basedOn w:val="Normaallaad"/>
    <w:uiPriority w:val="99"/>
    <w:semiHidden/>
    <w:unhideWhenUsed/>
    <w:rsid w:val="007852BB"/>
    <w:pPr>
      <w:numPr>
        <w:numId w:val="3"/>
      </w:numPr>
      <w:contextualSpacing/>
    </w:pPr>
  </w:style>
  <w:style w:type="paragraph" w:styleId="Loenditpp4">
    <w:name w:val="List Bullet 4"/>
    <w:basedOn w:val="Normaallaad"/>
    <w:uiPriority w:val="99"/>
    <w:semiHidden/>
    <w:unhideWhenUsed/>
    <w:rsid w:val="007852BB"/>
    <w:pPr>
      <w:numPr>
        <w:numId w:val="4"/>
      </w:numPr>
      <w:contextualSpacing/>
    </w:pPr>
  </w:style>
  <w:style w:type="character" w:styleId="Rhutus">
    <w:name w:val="Emphasis"/>
    <w:basedOn w:val="Liguvaikefont"/>
    <w:uiPriority w:val="20"/>
    <w:qFormat/>
    <w:rsid w:val="00536944"/>
    <w:rPr>
      <w:i/>
      <w:iCs/>
    </w:rPr>
  </w:style>
  <w:style w:type="character" w:styleId="Hperlink">
    <w:name w:val="Hyperlink"/>
    <w:basedOn w:val="Liguvaikefont"/>
    <w:uiPriority w:val="99"/>
    <w:unhideWhenUsed/>
    <w:rsid w:val="00536944"/>
    <w:rPr>
      <w:color w:val="0000FF" w:themeColor="hyperlink"/>
      <w:u w:val="single"/>
    </w:rPr>
  </w:style>
  <w:style w:type="character" w:styleId="Lahendamatamainimine">
    <w:name w:val="Unresolved Mention"/>
    <w:basedOn w:val="Liguvaikefont"/>
    <w:uiPriority w:val="99"/>
    <w:semiHidden/>
    <w:unhideWhenUsed/>
    <w:rsid w:val="00536944"/>
    <w:rPr>
      <w:color w:val="605E5C"/>
      <w:shd w:val="clear" w:color="auto" w:fill="E1DFDD"/>
    </w:rPr>
  </w:style>
  <w:style w:type="paragraph" w:styleId="Redaktsioon">
    <w:name w:val="Revision"/>
    <w:hidden/>
    <w:uiPriority w:val="99"/>
    <w:semiHidden/>
    <w:rsid w:val="001837E9"/>
    <w:pPr>
      <w:spacing w:after="0" w:line="240" w:lineRule="auto"/>
    </w:pPr>
    <w:rPr>
      <w:rFonts w:ascii="Times New Roman" w:hAnsi="Times New Roman" w:cs="Times New Roman"/>
      <w:sz w:val="24"/>
      <w:lang w:val="en-GB"/>
    </w:rPr>
  </w:style>
  <w:style w:type="character" w:styleId="Kommentaariviide">
    <w:name w:val="annotation reference"/>
    <w:basedOn w:val="Liguvaikefont"/>
    <w:uiPriority w:val="99"/>
    <w:semiHidden/>
    <w:unhideWhenUsed/>
    <w:rsid w:val="00434A6E"/>
    <w:rPr>
      <w:sz w:val="16"/>
      <w:szCs w:val="16"/>
    </w:rPr>
  </w:style>
  <w:style w:type="paragraph" w:styleId="Kommentaaritekst">
    <w:name w:val="annotation text"/>
    <w:basedOn w:val="Normaallaad"/>
    <w:link w:val="KommentaaritekstMrk"/>
    <w:uiPriority w:val="99"/>
    <w:unhideWhenUsed/>
    <w:rsid w:val="00434A6E"/>
    <w:rPr>
      <w:sz w:val="20"/>
      <w:szCs w:val="20"/>
    </w:rPr>
  </w:style>
  <w:style w:type="character" w:customStyle="1" w:styleId="KommentaaritekstMrk">
    <w:name w:val="Kommentaari tekst Märk"/>
    <w:basedOn w:val="Liguvaikefont"/>
    <w:link w:val="Kommentaaritekst"/>
    <w:uiPriority w:val="99"/>
    <w:rsid w:val="00434A6E"/>
    <w:rPr>
      <w:rFonts w:ascii="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434A6E"/>
    <w:rPr>
      <w:b/>
      <w:bCs/>
    </w:rPr>
  </w:style>
  <w:style w:type="character" w:customStyle="1" w:styleId="KommentaariteemaMrk">
    <w:name w:val="Kommentaari teema Märk"/>
    <w:basedOn w:val="KommentaaritekstMrk"/>
    <w:link w:val="Kommentaariteema"/>
    <w:uiPriority w:val="99"/>
    <w:semiHidden/>
    <w:rsid w:val="00434A6E"/>
    <w:rPr>
      <w:rFonts w:ascii="Times New Roman" w:hAnsi="Times New Roman" w:cs="Times New Roman"/>
      <w:b/>
      <w:bCs/>
      <w:sz w:val="20"/>
      <w:szCs w:val="20"/>
      <w:lang w:val="en-GB"/>
    </w:rPr>
  </w:style>
  <w:style w:type="paragraph" w:customStyle="1" w:styleId="Default">
    <w:name w:val="Default"/>
    <w:rsid w:val="000E73BF"/>
    <w:pPr>
      <w:autoSpaceDE w:val="0"/>
      <w:autoSpaceDN w:val="0"/>
      <w:adjustRightInd w:val="0"/>
      <w:spacing w:after="0" w:line="240" w:lineRule="auto"/>
    </w:pPr>
    <w:rPr>
      <w:rFonts w:ascii="Verdana" w:hAnsi="Verdana" w:cs="Verdana"/>
      <w:color w:val="000000"/>
      <w:sz w:val="24"/>
      <w:szCs w:val="24"/>
      <w:lang w:val="en-IE"/>
    </w:rPr>
  </w:style>
  <w:style w:type="character" w:styleId="Klastatudhperlink">
    <w:name w:val="FollowedHyperlink"/>
    <w:basedOn w:val="Liguvaikefont"/>
    <w:uiPriority w:val="99"/>
    <w:semiHidden/>
    <w:unhideWhenUsed/>
    <w:rsid w:val="002807DF"/>
    <w:rPr>
      <w:color w:val="800080" w:themeColor="followedHyperlink"/>
      <w:u w:val="single"/>
    </w:rPr>
  </w:style>
  <w:style w:type="paragraph" w:styleId="Normaallaadveeb">
    <w:name w:val="Normal (Web)"/>
    <w:basedOn w:val="Normaallaad"/>
    <w:uiPriority w:val="99"/>
    <w:semiHidden/>
    <w:unhideWhenUsed/>
    <w:rsid w:val="00F16194"/>
    <w:rPr>
      <w:szCs w:val="24"/>
    </w:rPr>
  </w:style>
  <w:style w:type="paragraph" w:styleId="Pis">
    <w:name w:val="header"/>
    <w:basedOn w:val="Normaallaad"/>
    <w:link w:val="PisMrk"/>
    <w:uiPriority w:val="99"/>
    <w:semiHidden/>
    <w:unhideWhenUsed/>
    <w:pPr>
      <w:tabs>
        <w:tab w:val="center" w:pos="4535"/>
        <w:tab w:val="right" w:pos="9071"/>
      </w:tabs>
      <w:spacing w:before="0"/>
    </w:pPr>
  </w:style>
  <w:style w:type="character" w:customStyle="1" w:styleId="PisMrk">
    <w:name w:val="Päis Märk"/>
    <w:basedOn w:val="Liguvaikefont"/>
    <w:link w:val="Pis"/>
    <w:uiPriority w:val="99"/>
    <w:semiHidden/>
    <w:rPr>
      <w:rFonts w:ascii="Times New Roman" w:hAnsi="Times New Roman" w:cs="Times New Roman"/>
      <w:sz w:val="24"/>
      <w:shd w:val="clear" w:color="auto" w:fill="auto"/>
      <w:lang w:val="en-GB"/>
    </w:rPr>
  </w:style>
  <w:style w:type="paragraph" w:styleId="Jalus">
    <w:name w:val="footer"/>
    <w:basedOn w:val="Normaallaad"/>
    <w:link w:val="JalusMrk"/>
    <w:uiPriority w:val="99"/>
    <w:semiHidden/>
    <w:unhideWhenUsed/>
    <w:pPr>
      <w:tabs>
        <w:tab w:val="center" w:pos="4535"/>
        <w:tab w:val="right" w:pos="9071"/>
        <w:tab w:val="right" w:pos="9921"/>
      </w:tabs>
      <w:spacing w:before="360" w:after="0"/>
      <w:ind w:left="-850" w:right="-850"/>
      <w:jc w:val="left"/>
    </w:pPr>
  </w:style>
  <w:style w:type="character" w:customStyle="1" w:styleId="JalusMrk">
    <w:name w:val="Jalus Märk"/>
    <w:basedOn w:val="Liguvaikefont"/>
    <w:link w:val="Jalus"/>
    <w:uiPriority w:val="99"/>
    <w:semiHidden/>
    <w:rPr>
      <w:rFonts w:ascii="Times New Roman" w:hAnsi="Times New Roman" w:cs="Times New Roman"/>
      <w:sz w:val="24"/>
      <w:shd w:val="clear" w:color="auto" w:fill="auto"/>
      <w:lang w:val="en-GB"/>
    </w:rPr>
  </w:style>
  <w:style w:type="paragraph" w:styleId="Allmrkusetekst">
    <w:name w:val="footnote text"/>
    <w:basedOn w:val="Normaallaad"/>
    <w:link w:val="AllmrkusetekstMrk"/>
    <w:uiPriority w:val="99"/>
    <w:semiHidden/>
    <w:unhideWhenUsed/>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Pr>
      <w:rFonts w:ascii="Times New Roman" w:eastAsiaTheme="majorEastAsia" w:hAnsi="Times New Roman" w:cs="Times New Roman"/>
      <w:b/>
      <w:bCs/>
      <w:smallCaps/>
      <w:sz w:val="24"/>
      <w:szCs w:val="28"/>
      <w:shd w:val="clear" w:color="auto" w:fill="auto"/>
      <w:lang w:val="en-GB"/>
    </w:rPr>
  </w:style>
  <w:style w:type="character" w:customStyle="1" w:styleId="Pealkiri2Mrk">
    <w:name w:val="Pealkiri 2 Märk"/>
    <w:basedOn w:val="Liguvaikefont"/>
    <w:link w:val="Pealkiri2"/>
    <w:uiPriority w:val="9"/>
    <w:semiHidden/>
    <w:rPr>
      <w:rFonts w:ascii="Times New Roman" w:eastAsiaTheme="majorEastAsia" w:hAnsi="Times New Roman" w:cs="Times New Roman"/>
      <w:b/>
      <w:bCs/>
      <w:sz w:val="24"/>
      <w:szCs w:val="26"/>
      <w:shd w:val="clear" w:color="auto" w:fill="auto"/>
      <w:lang w:val="en-GB"/>
    </w:rPr>
  </w:style>
  <w:style w:type="character" w:customStyle="1" w:styleId="Pealkiri3Mrk">
    <w:name w:val="Pealkiri 3 Märk"/>
    <w:basedOn w:val="Liguvaikefont"/>
    <w:link w:val="Pealkiri3"/>
    <w:uiPriority w:val="9"/>
    <w:semiHidden/>
    <w:rPr>
      <w:rFonts w:ascii="Times New Roman" w:eastAsiaTheme="majorEastAsia" w:hAnsi="Times New Roman" w:cs="Times New Roman"/>
      <w:bCs/>
      <w:i/>
      <w:sz w:val="24"/>
      <w:shd w:val="clear" w:color="auto" w:fill="auto"/>
      <w:lang w:val="en-GB"/>
    </w:rPr>
  </w:style>
  <w:style w:type="character" w:customStyle="1" w:styleId="Pealkiri4Mrk">
    <w:name w:val="Pealkiri 4 Märk"/>
    <w:basedOn w:val="Liguvaikefont"/>
    <w:link w:val="Pealkiri4"/>
    <w:uiPriority w:val="9"/>
    <w:semiHidden/>
    <w:rPr>
      <w:rFonts w:ascii="Times New Roman" w:eastAsiaTheme="majorEastAsia" w:hAnsi="Times New Roman" w:cs="Times New Roman"/>
      <w:bCs/>
      <w:iCs/>
      <w:sz w:val="24"/>
      <w:shd w:val="clear" w:color="auto" w:fill="auto"/>
      <w:lang w:val="en-GB"/>
    </w:rPr>
  </w:style>
  <w:style w:type="character" w:customStyle="1" w:styleId="Pealkiri5Mrk">
    <w:name w:val="Pealkiri 5 Märk"/>
    <w:basedOn w:val="Liguvaikefont"/>
    <w:link w:val="Pealkiri5"/>
    <w:uiPriority w:val="9"/>
    <w:semiHidden/>
    <w:rPr>
      <w:rFonts w:ascii="Times New Roman" w:eastAsiaTheme="majorEastAsia" w:hAnsi="Times New Roman" w:cs="Times New Roman"/>
      <w:sz w:val="24"/>
      <w:shd w:val="clear" w:color="auto" w:fill="auto"/>
      <w:lang w:val="en-GB"/>
    </w:rPr>
  </w:style>
  <w:style w:type="character" w:customStyle="1" w:styleId="Pealkiri6Mrk">
    <w:name w:val="Pealkiri 6 Märk"/>
    <w:basedOn w:val="Liguvaikefont"/>
    <w:link w:val="Pealkiri6"/>
    <w:uiPriority w:val="9"/>
    <w:semiHidden/>
    <w:rPr>
      <w:rFonts w:ascii="Times New Roman" w:eastAsiaTheme="majorEastAsia" w:hAnsi="Times New Roman" w:cs="Times New Roman"/>
      <w:iCs/>
      <w:sz w:val="24"/>
      <w:shd w:val="clear" w:color="auto" w:fill="auto"/>
      <w:lang w:val="en-GB"/>
    </w:rPr>
  </w:style>
  <w:style w:type="character" w:customStyle="1" w:styleId="Pealkiri7Mrk">
    <w:name w:val="Pealkiri 7 Märk"/>
    <w:basedOn w:val="Liguvaikefont"/>
    <w:link w:val="Pealkiri7"/>
    <w:uiPriority w:val="9"/>
    <w:semiHidden/>
    <w:rPr>
      <w:rFonts w:ascii="Times New Roman" w:eastAsiaTheme="majorEastAsia" w:hAnsi="Times New Roman" w:cs="Times New Roman"/>
      <w:iCs/>
      <w:sz w:val="24"/>
      <w:shd w:val="clear" w:color="auto" w:fill="auto"/>
      <w:lang w:val="en-GB"/>
    </w:rPr>
  </w:style>
  <w:style w:type="paragraph" w:styleId="Sisukorrapealkiri">
    <w:name w:val="TOC Heading"/>
    <w:basedOn w:val="Normaallaad"/>
    <w:next w:val="Normaallaad"/>
    <w:uiPriority w:val="39"/>
    <w:semiHidden/>
    <w:unhideWhenUsed/>
    <w:qFormat/>
    <w:pPr>
      <w:spacing w:after="240"/>
      <w:jc w:val="center"/>
    </w:pPr>
    <w:rPr>
      <w:b/>
      <w:sz w:val="28"/>
    </w:rPr>
  </w:style>
  <w:style w:type="paragraph" w:styleId="SK1">
    <w:name w:val="toc 1"/>
    <w:basedOn w:val="Normaallaad"/>
    <w:next w:val="Normaallaad"/>
    <w:uiPriority w:val="39"/>
    <w:semiHidden/>
    <w:unhideWhenUsed/>
    <w:pPr>
      <w:tabs>
        <w:tab w:val="right" w:leader="dot" w:pos="9071"/>
      </w:tabs>
      <w:spacing w:before="60"/>
      <w:ind w:left="850" w:hanging="850"/>
      <w:jc w:val="left"/>
    </w:pPr>
  </w:style>
  <w:style w:type="paragraph" w:styleId="SK2">
    <w:name w:val="toc 2"/>
    <w:basedOn w:val="Normaallaad"/>
    <w:next w:val="Normaallaad"/>
    <w:uiPriority w:val="39"/>
    <w:semiHidden/>
    <w:unhideWhenUsed/>
    <w:pPr>
      <w:tabs>
        <w:tab w:val="right" w:leader="dot" w:pos="9071"/>
      </w:tabs>
      <w:spacing w:before="60"/>
      <w:ind w:left="850" w:hanging="850"/>
      <w:jc w:val="left"/>
    </w:pPr>
  </w:style>
  <w:style w:type="paragraph" w:styleId="SK3">
    <w:name w:val="toc 3"/>
    <w:basedOn w:val="Normaallaad"/>
    <w:next w:val="Normaallaad"/>
    <w:uiPriority w:val="39"/>
    <w:semiHidden/>
    <w:unhideWhenUsed/>
    <w:pPr>
      <w:tabs>
        <w:tab w:val="right" w:leader="dot" w:pos="9071"/>
      </w:tabs>
      <w:spacing w:before="60"/>
      <w:ind w:left="850" w:hanging="850"/>
      <w:jc w:val="left"/>
    </w:pPr>
  </w:style>
  <w:style w:type="paragraph" w:styleId="SK4">
    <w:name w:val="toc 4"/>
    <w:basedOn w:val="Normaallaad"/>
    <w:next w:val="Normaallaad"/>
    <w:uiPriority w:val="39"/>
    <w:semiHidden/>
    <w:unhideWhenUsed/>
    <w:pPr>
      <w:tabs>
        <w:tab w:val="right" w:leader="dot" w:pos="9071"/>
      </w:tabs>
      <w:spacing w:before="60"/>
      <w:ind w:left="850" w:hanging="850"/>
      <w:jc w:val="left"/>
    </w:pPr>
  </w:style>
  <w:style w:type="paragraph" w:styleId="SK5">
    <w:name w:val="toc 5"/>
    <w:basedOn w:val="Normaallaad"/>
    <w:next w:val="Normaallaad"/>
    <w:uiPriority w:val="39"/>
    <w:semiHidden/>
    <w:unhideWhenUsed/>
    <w:pPr>
      <w:tabs>
        <w:tab w:val="right" w:leader="dot" w:pos="9071"/>
      </w:tabs>
      <w:spacing w:before="300"/>
      <w:jc w:val="left"/>
    </w:pPr>
  </w:style>
  <w:style w:type="paragraph" w:styleId="SK6">
    <w:name w:val="toc 6"/>
    <w:basedOn w:val="Normaallaad"/>
    <w:next w:val="Normaallaad"/>
    <w:uiPriority w:val="39"/>
    <w:semiHidden/>
    <w:unhideWhenUsed/>
    <w:pPr>
      <w:tabs>
        <w:tab w:val="right" w:leader="dot" w:pos="9071"/>
      </w:tabs>
      <w:spacing w:before="240"/>
      <w:jc w:val="left"/>
    </w:pPr>
  </w:style>
  <w:style w:type="paragraph" w:styleId="SK7">
    <w:name w:val="toc 7"/>
    <w:basedOn w:val="Normaallaad"/>
    <w:next w:val="Normaallaad"/>
    <w:uiPriority w:val="39"/>
    <w:semiHidden/>
    <w:unhideWhenUsed/>
    <w:pPr>
      <w:tabs>
        <w:tab w:val="right" w:leader="dot" w:pos="9071"/>
      </w:tabs>
      <w:spacing w:before="180"/>
      <w:jc w:val="left"/>
    </w:pPr>
  </w:style>
  <w:style w:type="paragraph" w:styleId="SK8">
    <w:name w:val="toc 8"/>
    <w:basedOn w:val="Normaallaad"/>
    <w:next w:val="Normaallaad"/>
    <w:uiPriority w:val="39"/>
    <w:semiHidden/>
    <w:unhideWhenUsed/>
    <w:pPr>
      <w:tabs>
        <w:tab w:val="right" w:leader="dot" w:pos="9071"/>
      </w:tabs>
      <w:jc w:val="left"/>
    </w:pPr>
  </w:style>
  <w:style w:type="paragraph" w:styleId="SK9">
    <w:name w:val="toc 9"/>
    <w:basedOn w:val="Normaallaad"/>
    <w:next w:val="Normaallaad"/>
    <w:uiPriority w:val="39"/>
    <w:semiHidden/>
    <w:unhideWhenUsed/>
    <w:pPr>
      <w:tabs>
        <w:tab w:val="right" w:leader="dot" w:pos="9071"/>
      </w:tabs>
      <w:ind w:left="1417" w:hanging="1417"/>
      <w:jc w:val="left"/>
    </w:pPr>
  </w:style>
  <w:style w:type="paragraph" w:customStyle="1" w:styleId="HeaderLandscape">
    <w:name w:val="HeaderLandscape"/>
    <w:basedOn w:val="Normaallaad"/>
    <w:pPr>
      <w:tabs>
        <w:tab w:val="center" w:pos="7285"/>
        <w:tab w:val="right" w:pos="14003"/>
      </w:tabs>
      <w:spacing w:before="0"/>
    </w:pPr>
  </w:style>
  <w:style w:type="paragraph" w:customStyle="1" w:styleId="FooterLandscape">
    <w:name w:val="FooterLandscape"/>
    <w:basedOn w:val="Normaallaad"/>
    <w:pPr>
      <w:tabs>
        <w:tab w:val="center" w:pos="7285"/>
        <w:tab w:val="center" w:pos="10913"/>
        <w:tab w:val="right" w:pos="15137"/>
      </w:tabs>
      <w:spacing w:before="360" w:after="0"/>
      <w:ind w:left="-567" w:right="-567"/>
      <w:jc w:val="left"/>
    </w:pPr>
  </w:style>
  <w:style w:type="character" w:styleId="Allmrkuseviide">
    <w:name w:val="footnote reference"/>
    <w:basedOn w:val="Liguvaikefont"/>
    <w:uiPriority w:val="99"/>
    <w:semiHidden/>
    <w:unhideWhenUsed/>
    <w:rPr>
      <w:shd w:val="clear" w:color="auto" w:fill="auto"/>
      <w:vertAlign w:val="superscript"/>
    </w:rPr>
  </w:style>
  <w:style w:type="paragraph" w:customStyle="1" w:styleId="HeaderSensitivity">
    <w:name w:val="Header Sensitivity"/>
    <w:basedOn w:val="Normaallaa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pPr>
      <w:spacing w:before="0"/>
      <w:jc w:val="right"/>
    </w:pPr>
    <w:rPr>
      <w:sz w:val="28"/>
    </w:rPr>
  </w:style>
  <w:style w:type="paragraph" w:customStyle="1" w:styleId="FooterSensitivity">
    <w:name w:val="Footer Sensitivity"/>
    <w:basedOn w:val="Normaallaa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pPr>
      <w:ind w:left="850"/>
    </w:pPr>
  </w:style>
  <w:style w:type="paragraph" w:customStyle="1" w:styleId="Text2">
    <w:name w:val="Text 2"/>
    <w:basedOn w:val="Normaallaad"/>
    <w:pPr>
      <w:ind w:left="1417"/>
    </w:pPr>
  </w:style>
  <w:style w:type="paragraph" w:customStyle="1" w:styleId="Text3">
    <w:name w:val="Text 3"/>
    <w:basedOn w:val="Normaallaad"/>
    <w:pPr>
      <w:ind w:left="1984"/>
    </w:pPr>
  </w:style>
  <w:style w:type="paragraph" w:customStyle="1" w:styleId="Text4">
    <w:name w:val="Text 4"/>
    <w:basedOn w:val="Normaallaad"/>
    <w:pPr>
      <w:ind w:left="2551"/>
    </w:pPr>
  </w:style>
  <w:style w:type="paragraph" w:customStyle="1" w:styleId="Text5">
    <w:name w:val="Text 5"/>
    <w:basedOn w:val="Normaallaad"/>
    <w:pPr>
      <w:ind w:left="3118"/>
    </w:pPr>
  </w:style>
  <w:style w:type="paragraph" w:customStyle="1" w:styleId="Text6">
    <w:name w:val="Text 6"/>
    <w:basedOn w:val="Normaallaad"/>
    <w:pPr>
      <w:ind w:left="3685"/>
    </w:pPr>
  </w:style>
  <w:style w:type="paragraph" w:customStyle="1" w:styleId="NormalCentered">
    <w:name w:val="Normal Centered"/>
    <w:basedOn w:val="Normaallaad"/>
    <w:pPr>
      <w:jc w:val="center"/>
    </w:pPr>
  </w:style>
  <w:style w:type="paragraph" w:customStyle="1" w:styleId="NormalLeft">
    <w:name w:val="Normal Left"/>
    <w:basedOn w:val="Normaallaad"/>
    <w:pPr>
      <w:jc w:val="left"/>
    </w:pPr>
  </w:style>
  <w:style w:type="paragraph" w:customStyle="1" w:styleId="NormalRight">
    <w:name w:val="Normal Right"/>
    <w:basedOn w:val="Normaallaad"/>
    <w:pPr>
      <w:jc w:val="right"/>
    </w:pPr>
  </w:style>
  <w:style w:type="paragraph" w:customStyle="1" w:styleId="QuotedText">
    <w:name w:val="Quoted Text"/>
    <w:basedOn w:val="Normaallaad"/>
    <w:pPr>
      <w:ind w:left="1417"/>
    </w:pPr>
  </w:style>
  <w:style w:type="paragraph" w:customStyle="1" w:styleId="Point0">
    <w:name w:val="Point 0"/>
    <w:basedOn w:val="Normaallaad"/>
    <w:pPr>
      <w:ind w:left="850" w:hanging="850"/>
    </w:pPr>
  </w:style>
  <w:style w:type="paragraph" w:customStyle="1" w:styleId="Point1">
    <w:name w:val="Point 1"/>
    <w:basedOn w:val="Normaallaad"/>
    <w:pPr>
      <w:ind w:left="1417" w:hanging="567"/>
    </w:pPr>
  </w:style>
  <w:style w:type="paragraph" w:customStyle="1" w:styleId="Point2">
    <w:name w:val="Point 2"/>
    <w:basedOn w:val="Normaallaad"/>
    <w:pPr>
      <w:ind w:left="1984" w:hanging="567"/>
    </w:pPr>
  </w:style>
  <w:style w:type="paragraph" w:customStyle="1" w:styleId="Point3">
    <w:name w:val="Point 3"/>
    <w:basedOn w:val="Normaallaad"/>
    <w:pPr>
      <w:ind w:left="2551" w:hanging="567"/>
    </w:pPr>
  </w:style>
  <w:style w:type="paragraph" w:customStyle="1" w:styleId="Point4">
    <w:name w:val="Point 4"/>
    <w:basedOn w:val="Normaallaad"/>
    <w:pPr>
      <w:ind w:left="3118" w:hanging="567"/>
    </w:pPr>
  </w:style>
  <w:style w:type="paragraph" w:customStyle="1" w:styleId="Point5">
    <w:name w:val="Point 5"/>
    <w:basedOn w:val="Normaallaad"/>
    <w:pPr>
      <w:ind w:left="3685"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Tiret5">
    <w:name w:val="Tiret 5"/>
    <w:basedOn w:val="Point5"/>
    <w:pPr>
      <w:numPr>
        <w:numId w:val="26"/>
      </w:numPr>
    </w:pPr>
  </w:style>
  <w:style w:type="paragraph" w:customStyle="1" w:styleId="PointDouble0">
    <w:name w:val="PointDouble 0"/>
    <w:basedOn w:val="Normaallaad"/>
    <w:pPr>
      <w:tabs>
        <w:tab w:val="left" w:pos="850"/>
      </w:tabs>
      <w:ind w:left="1417" w:hanging="1417"/>
    </w:pPr>
  </w:style>
  <w:style w:type="paragraph" w:customStyle="1" w:styleId="PointDouble1">
    <w:name w:val="PointDouble 1"/>
    <w:basedOn w:val="Normaallaad"/>
    <w:pPr>
      <w:tabs>
        <w:tab w:val="left" w:pos="1417"/>
      </w:tabs>
      <w:ind w:left="1984" w:hanging="1134"/>
    </w:pPr>
  </w:style>
  <w:style w:type="paragraph" w:customStyle="1" w:styleId="PointDouble2">
    <w:name w:val="PointDouble 2"/>
    <w:basedOn w:val="Normaallaad"/>
    <w:pPr>
      <w:tabs>
        <w:tab w:val="left" w:pos="1984"/>
      </w:tabs>
      <w:ind w:left="2551" w:hanging="1134"/>
    </w:pPr>
  </w:style>
  <w:style w:type="paragraph" w:customStyle="1" w:styleId="PointDouble3">
    <w:name w:val="PointDouble 3"/>
    <w:basedOn w:val="Normaallaad"/>
    <w:pPr>
      <w:tabs>
        <w:tab w:val="left" w:pos="2551"/>
      </w:tabs>
      <w:ind w:left="3118" w:hanging="1134"/>
    </w:pPr>
  </w:style>
  <w:style w:type="paragraph" w:customStyle="1" w:styleId="PointDouble4">
    <w:name w:val="PointDouble 4"/>
    <w:basedOn w:val="Normaallaad"/>
    <w:pPr>
      <w:tabs>
        <w:tab w:val="left" w:pos="3118"/>
      </w:tabs>
      <w:ind w:left="3685" w:hanging="1134"/>
    </w:pPr>
  </w:style>
  <w:style w:type="paragraph" w:customStyle="1" w:styleId="PointTriple0">
    <w:name w:val="PointTriple 0"/>
    <w:basedOn w:val="Normaallaad"/>
    <w:pPr>
      <w:tabs>
        <w:tab w:val="left" w:pos="850"/>
        <w:tab w:val="left" w:pos="1417"/>
      </w:tabs>
      <w:ind w:left="1984" w:hanging="1984"/>
    </w:pPr>
  </w:style>
  <w:style w:type="paragraph" w:customStyle="1" w:styleId="PointTriple1">
    <w:name w:val="PointTriple 1"/>
    <w:basedOn w:val="Normaallaad"/>
    <w:pPr>
      <w:tabs>
        <w:tab w:val="left" w:pos="1417"/>
        <w:tab w:val="left" w:pos="1984"/>
      </w:tabs>
      <w:ind w:left="2551" w:hanging="1701"/>
    </w:pPr>
  </w:style>
  <w:style w:type="paragraph" w:customStyle="1" w:styleId="PointTriple2">
    <w:name w:val="PointTriple 2"/>
    <w:basedOn w:val="Normaallaad"/>
    <w:pPr>
      <w:tabs>
        <w:tab w:val="left" w:pos="1984"/>
        <w:tab w:val="left" w:pos="2551"/>
      </w:tabs>
      <w:ind w:left="3118" w:hanging="1701"/>
    </w:pPr>
  </w:style>
  <w:style w:type="paragraph" w:customStyle="1" w:styleId="PointTriple3">
    <w:name w:val="PointTriple 3"/>
    <w:basedOn w:val="Normaallaad"/>
    <w:pPr>
      <w:tabs>
        <w:tab w:val="left" w:pos="2551"/>
        <w:tab w:val="left" w:pos="3118"/>
      </w:tabs>
      <w:ind w:left="3685" w:hanging="1701"/>
    </w:pPr>
  </w:style>
  <w:style w:type="paragraph" w:customStyle="1" w:styleId="PointTriple4">
    <w:name w:val="PointTriple 4"/>
    <w:basedOn w:val="Normaallaad"/>
    <w:pPr>
      <w:tabs>
        <w:tab w:val="left" w:pos="3118"/>
        <w:tab w:val="left" w:pos="3685"/>
      </w:tabs>
      <w:ind w:left="4252" w:hanging="1701"/>
    </w:pPr>
  </w:style>
  <w:style w:type="paragraph" w:customStyle="1" w:styleId="NumPar1">
    <w:name w:val="NumPar 1"/>
    <w:basedOn w:val="Normaallaad"/>
    <w:next w:val="Text1"/>
    <w:pPr>
      <w:numPr>
        <w:numId w:val="27"/>
      </w:numPr>
    </w:pPr>
  </w:style>
  <w:style w:type="paragraph" w:customStyle="1" w:styleId="NumPar2">
    <w:name w:val="NumPar 2"/>
    <w:basedOn w:val="Normaallaad"/>
    <w:next w:val="Text1"/>
    <w:pPr>
      <w:numPr>
        <w:ilvl w:val="1"/>
        <w:numId w:val="27"/>
      </w:numPr>
    </w:pPr>
  </w:style>
  <w:style w:type="paragraph" w:customStyle="1" w:styleId="NumPar3">
    <w:name w:val="NumPar 3"/>
    <w:basedOn w:val="Normaallaad"/>
    <w:next w:val="Text1"/>
    <w:pPr>
      <w:numPr>
        <w:ilvl w:val="2"/>
        <w:numId w:val="27"/>
      </w:numPr>
    </w:pPr>
  </w:style>
  <w:style w:type="paragraph" w:customStyle="1" w:styleId="NumPar4">
    <w:name w:val="NumPar 4"/>
    <w:basedOn w:val="Normaallaad"/>
    <w:next w:val="Text1"/>
    <w:pPr>
      <w:numPr>
        <w:ilvl w:val="3"/>
        <w:numId w:val="27"/>
      </w:numPr>
    </w:pPr>
  </w:style>
  <w:style w:type="paragraph" w:customStyle="1" w:styleId="NumPar5">
    <w:name w:val="NumPar 5"/>
    <w:basedOn w:val="Normaallaad"/>
    <w:next w:val="Text2"/>
    <w:pPr>
      <w:numPr>
        <w:ilvl w:val="4"/>
        <w:numId w:val="27"/>
      </w:numPr>
    </w:pPr>
  </w:style>
  <w:style w:type="paragraph" w:customStyle="1" w:styleId="NumPar6">
    <w:name w:val="NumPar 6"/>
    <w:basedOn w:val="Normaallaad"/>
    <w:next w:val="Text2"/>
    <w:pPr>
      <w:numPr>
        <w:ilvl w:val="5"/>
        <w:numId w:val="27"/>
      </w:numPr>
    </w:pPr>
  </w:style>
  <w:style w:type="paragraph" w:customStyle="1" w:styleId="NumPar7">
    <w:name w:val="NumPar 7"/>
    <w:basedOn w:val="Normaallaad"/>
    <w:next w:val="Text2"/>
    <w:pPr>
      <w:numPr>
        <w:ilvl w:val="6"/>
        <w:numId w:val="27"/>
      </w:numPr>
    </w:pPr>
  </w:style>
  <w:style w:type="paragraph" w:customStyle="1" w:styleId="ManualNumPar1">
    <w:name w:val="Manual NumPar 1"/>
    <w:basedOn w:val="Normaallaad"/>
    <w:next w:val="Text1"/>
    <w:pPr>
      <w:ind w:left="850" w:hanging="850"/>
    </w:pPr>
  </w:style>
  <w:style w:type="paragraph" w:customStyle="1" w:styleId="ManualNumPar2">
    <w:name w:val="Manual NumPar 2"/>
    <w:basedOn w:val="Normaallaad"/>
    <w:next w:val="Text1"/>
    <w:pPr>
      <w:ind w:left="850" w:hanging="850"/>
    </w:pPr>
  </w:style>
  <w:style w:type="paragraph" w:customStyle="1" w:styleId="ManualNumPar3">
    <w:name w:val="Manual NumPar 3"/>
    <w:basedOn w:val="Normaallaad"/>
    <w:next w:val="Text1"/>
    <w:pPr>
      <w:ind w:left="850" w:hanging="850"/>
    </w:pPr>
  </w:style>
  <w:style w:type="paragraph" w:customStyle="1" w:styleId="ManualNumPar4">
    <w:name w:val="Manual NumPar 4"/>
    <w:basedOn w:val="Normaallaad"/>
    <w:next w:val="Text1"/>
    <w:pPr>
      <w:ind w:left="850" w:hanging="850"/>
    </w:pPr>
  </w:style>
  <w:style w:type="paragraph" w:customStyle="1" w:styleId="ManualNumPar5">
    <w:name w:val="Manual NumPar 5"/>
    <w:basedOn w:val="Normaallaad"/>
    <w:next w:val="Text2"/>
    <w:pPr>
      <w:ind w:left="1417" w:hanging="1417"/>
    </w:pPr>
  </w:style>
  <w:style w:type="paragraph" w:customStyle="1" w:styleId="ManualNumPar6">
    <w:name w:val="Manual NumPar 6"/>
    <w:basedOn w:val="Normaallaad"/>
    <w:next w:val="Text2"/>
    <w:pPr>
      <w:ind w:left="1417" w:hanging="1417"/>
    </w:pPr>
  </w:style>
  <w:style w:type="paragraph" w:customStyle="1" w:styleId="ManualNumPar7">
    <w:name w:val="Manual NumPar 7"/>
    <w:basedOn w:val="Normaallaad"/>
    <w:next w:val="Text2"/>
    <w:pPr>
      <w:ind w:left="1417" w:hanging="1417"/>
    </w:pPr>
  </w:style>
  <w:style w:type="paragraph" w:customStyle="1" w:styleId="QuotedNumPar">
    <w:name w:val="Quoted NumPar"/>
    <w:basedOn w:val="Normaallaad"/>
    <w:pPr>
      <w:ind w:left="1417" w:hanging="567"/>
    </w:pPr>
  </w:style>
  <w:style w:type="paragraph" w:customStyle="1" w:styleId="ManualHeading1">
    <w:name w:val="Manual Heading 1"/>
    <w:basedOn w:val="Normaallaad"/>
    <w:next w:val="Text1"/>
    <w:pPr>
      <w:keepNext/>
      <w:tabs>
        <w:tab w:val="left" w:pos="850"/>
      </w:tabs>
      <w:spacing w:before="360"/>
      <w:ind w:left="850" w:hanging="850"/>
      <w:outlineLvl w:val="0"/>
    </w:pPr>
    <w:rPr>
      <w:b/>
      <w:smallCaps/>
    </w:rPr>
  </w:style>
  <w:style w:type="paragraph" w:customStyle="1" w:styleId="ManualHeading2">
    <w:name w:val="Manual Heading 2"/>
    <w:basedOn w:val="Normaallaad"/>
    <w:next w:val="Text1"/>
    <w:pPr>
      <w:keepNext/>
      <w:tabs>
        <w:tab w:val="left" w:pos="850"/>
      </w:tabs>
      <w:ind w:left="850" w:hanging="850"/>
      <w:outlineLvl w:val="1"/>
    </w:pPr>
    <w:rPr>
      <w:b/>
    </w:rPr>
  </w:style>
  <w:style w:type="paragraph" w:customStyle="1" w:styleId="ManualHeading3">
    <w:name w:val="Manual Heading 3"/>
    <w:basedOn w:val="Normaallaad"/>
    <w:next w:val="Text1"/>
    <w:pPr>
      <w:keepNext/>
      <w:tabs>
        <w:tab w:val="left" w:pos="850"/>
      </w:tabs>
      <w:ind w:left="850" w:hanging="850"/>
      <w:outlineLvl w:val="2"/>
    </w:pPr>
    <w:rPr>
      <w:i/>
    </w:rPr>
  </w:style>
  <w:style w:type="paragraph" w:customStyle="1" w:styleId="ManualHeading4">
    <w:name w:val="Manual Heading 4"/>
    <w:basedOn w:val="Normaallaad"/>
    <w:next w:val="Text1"/>
    <w:pPr>
      <w:keepNext/>
      <w:tabs>
        <w:tab w:val="left" w:pos="850"/>
      </w:tabs>
      <w:ind w:left="850" w:hanging="850"/>
      <w:outlineLvl w:val="3"/>
    </w:pPr>
  </w:style>
  <w:style w:type="paragraph" w:customStyle="1" w:styleId="ManualHeading5">
    <w:name w:val="Manual Heading 5"/>
    <w:basedOn w:val="Normaallaad"/>
    <w:next w:val="Text2"/>
    <w:pPr>
      <w:keepNext/>
      <w:tabs>
        <w:tab w:val="left" w:pos="1417"/>
      </w:tabs>
      <w:ind w:left="1417" w:hanging="1417"/>
      <w:outlineLvl w:val="4"/>
    </w:pPr>
  </w:style>
  <w:style w:type="paragraph" w:customStyle="1" w:styleId="ManualHeading6">
    <w:name w:val="Manual Heading 6"/>
    <w:basedOn w:val="Normaallaad"/>
    <w:next w:val="Text2"/>
    <w:pPr>
      <w:keepNext/>
      <w:tabs>
        <w:tab w:val="left" w:pos="1417"/>
      </w:tabs>
      <w:ind w:left="1417" w:hanging="1417"/>
      <w:outlineLvl w:val="5"/>
    </w:pPr>
  </w:style>
  <w:style w:type="paragraph" w:customStyle="1" w:styleId="ManualHeading7">
    <w:name w:val="Manual Heading 7"/>
    <w:basedOn w:val="Normaallaad"/>
    <w:next w:val="Text2"/>
    <w:pPr>
      <w:keepNext/>
      <w:tabs>
        <w:tab w:val="left" w:pos="1417"/>
      </w:tabs>
      <w:ind w:left="1417" w:hanging="1417"/>
      <w:outlineLvl w:val="6"/>
    </w:pPr>
  </w:style>
  <w:style w:type="paragraph" w:customStyle="1" w:styleId="ChapterTitle">
    <w:name w:val="ChapterTitle"/>
    <w:basedOn w:val="Normaallaad"/>
    <w:next w:val="Normaallaad"/>
    <w:pPr>
      <w:keepNext/>
      <w:spacing w:after="360"/>
      <w:jc w:val="center"/>
    </w:pPr>
    <w:rPr>
      <w:b/>
      <w:sz w:val="32"/>
    </w:rPr>
  </w:style>
  <w:style w:type="paragraph" w:customStyle="1" w:styleId="PartTitle">
    <w:name w:val="PartTitle"/>
    <w:basedOn w:val="Normaallaad"/>
    <w:next w:val="ChapterTitle"/>
    <w:pPr>
      <w:keepNext/>
      <w:pageBreakBefore/>
      <w:spacing w:after="360"/>
      <w:jc w:val="center"/>
    </w:pPr>
    <w:rPr>
      <w:b/>
      <w:sz w:val="36"/>
    </w:rPr>
  </w:style>
  <w:style w:type="paragraph" w:customStyle="1" w:styleId="SectionTitle">
    <w:name w:val="SectionTitle"/>
    <w:basedOn w:val="Normaallaad"/>
    <w:next w:val="Pealkiri1"/>
    <w:pPr>
      <w:keepNext/>
      <w:spacing w:after="360"/>
      <w:jc w:val="center"/>
    </w:pPr>
    <w:rPr>
      <w:b/>
      <w:smallCaps/>
      <w:sz w:val="28"/>
    </w:rPr>
  </w:style>
  <w:style w:type="paragraph" w:customStyle="1" w:styleId="TableTitle">
    <w:name w:val="Table Title"/>
    <w:basedOn w:val="Normaallaad"/>
    <w:next w:val="Normaallaad"/>
    <w:pPr>
      <w:jc w:val="center"/>
    </w:pPr>
    <w:rPr>
      <w:b/>
    </w:r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character" w:customStyle="1" w:styleId="Marker2">
    <w:name w:val="Marker2"/>
    <w:basedOn w:val="Liguvaikefont"/>
    <w:rPr>
      <w:color w:val="FF0000"/>
      <w:shd w:val="clear" w:color="auto" w:fill="auto"/>
    </w:rPr>
  </w:style>
  <w:style w:type="paragraph" w:customStyle="1" w:styleId="Point0number">
    <w:name w:val="Point 0 (number)"/>
    <w:basedOn w:val="Normaallaad"/>
    <w:pPr>
      <w:numPr>
        <w:numId w:val="29"/>
      </w:numPr>
    </w:pPr>
  </w:style>
  <w:style w:type="paragraph" w:customStyle="1" w:styleId="Point1number">
    <w:name w:val="Point 1 (number)"/>
    <w:basedOn w:val="Normaallaad"/>
    <w:pPr>
      <w:numPr>
        <w:ilvl w:val="2"/>
        <w:numId w:val="29"/>
      </w:numPr>
    </w:pPr>
  </w:style>
  <w:style w:type="paragraph" w:customStyle="1" w:styleId="Point2number">
    <w:name w:val="Point 2 (number)"/>
    <w:basedOn w:val="Normaallaad"/>
    <w:pPr>
      <w:numPr>
        <w:ilvl w:val="4"/>
        <w:numId w:val="29"/>
      </w:numPr>
    </w:pPr>
  </w:style>
  <w:style w:type="paragraph" w:customStyle="1" w:styleId="Point3number">
    <w:name w:val="Point 3 (number)"/>
    <w:basedOn w:val="Normaallaad"/>
    <w:pPr>
      <w:numPr>
        <w:ilvl w:val="6"/>
        <w:numId w:val="29"/>
      </w:numPr>
    </w:pPr>
  </w:style>
  <w:style w:type="paragraph" w:customStyle="1" w:styleId="Point0letter">
    <w:name w:val="Point 0 (letter)"/>
    <w:basedOn w:val="Normaallaad"/>
    <w:pPr>
      <w:numPr>
        <w:ilvl w:val="1"/>
        <w:numId w:val="29"/>
      </w:numPr>
    </w:pPr>
  </w:style>
  <w:style w:type="paragraph" w:customStyle="1" w:styleId="Point1letter">
    <w:name w:val="Point 1 (letter)"/>
    <w:basedOn w:val="Normaallaad"/>
    <w:pPr>
      <w:numPr>
        <w:ilvl w:val="3"/>
        <w:numId w:val="29"/>
      </w:numPr>
    </w:pPr>
  </w:style>
  <w:style w:type="paragraph" w:customStyle="1" w:styleId="Point2letter">
    <w:name w:val="Point 2 (letter)"/>
    <w:basedOn w:val="Normaallaad"/>
    <w:pPr>
      <w:numPr>
        <w:ilvl w:val="5"/>
        <w:numId w:val="29"/>
      </w:numPr>
    </w:pPr>
  </w:style>
  <w:style w:type="paragraph" w:customStyle="1" w:styleId="Point3letter">
    <w:name w:val="Point 3 (letter)"/>
    <w:basedOn w:val="Normaallaad"/>
    <w:pPr>
      <w:numPr>
        <w:ilvl w:val="7"/>
        <w:numId w:val="29"/>
      </w:numPr>
    </w:pPr>
  </w:style>
  <w:style w:type="paragraph" w:customStyle="1" w:styleId="Point4letter">
    <w:name w:val="Point 4 (letter)"/>
    <w:basedOn w:val="Normaallaad"/>
    <w:pPr>
      <w:numPr>
        <w:ilvl w:val="8"/>
        <w:numId w:val="29"/>
      </w:numPr>
    </w:pPr>
  </w:style>
  <w:style w:type="paragraph" w:customStyle="1" w:styleId="Bullet0">
    <w:name w:val="Bullet 0"/>
    <w:basedOn w:val="Normaallaad"/>
    <w:pPr>
      <w:numPr>
        <w:numId w:val="30"/>
      </w:numPr>
    </w:pPr>
  </w:style>
  <w:style w:type="paragraph" w:customStyle="1" w:styleId="Bullet1">
    <w:name w:val="Bullet 1"/>
    <w:basedOn w:val="Normaallaad"/>
    <w:pPr>
      <w:numPr>
        <w:numId w:val="31"/>
      </w:numPr>
    </w:pPr>
  </w:style>
  <w:style w:type="paragraph" w:customStyle="1" w:styleId="Bullet2">
    <w:name w:val="Bullet 2"/>
    <w:basedOn w:val="Normaallaad"/>
    <w:pPr>
      <w:numPr>
        <w:numId w:val="32"/>
      </w:numPr>
    </w:pPr>
  </w:style>
  <w:style w:type="paragraph" w:customStyle="1" w:styleId="Bullet3">
    <w:name w:val="Bullet 3"/>
    <w:basedOn w:val="Normaallaad"/>
    <w:pPr>
      <w:numPr>
        <w:numId w:val="33"/>
      </w:numPr>
    </w:pPr>
  </w:style>
  <w:style w:type="paragraph" w:customStyle="1" w:styleId="Bullet4">
    <w:name w:val="Bullet 4"/>
    <w:basedOn w:val="Normaallaad"/>
    <w:pPr>
      <w:numPr>
        <w:numId w:val="34"/>
      </w:numPr>
    </w:pPr>
  </w:style>
  <w:style w:type="paragraph" w:customStyle="1" w:styleId="Langue">
    <w:name w:val="Langue"/>
    <w:basedOn w:val="Normaallaa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pPr>
      <w:spacing w:before="0" w:after="0"/>
      <w:jc w:val="left"/>
    </w:pPr>
    <w:rPr>
      <w:rFonts w:ascii="Arial" w:hAnsi="Arial" w:cs="Arial"/>
    </w:rPr>
  </w:style>
  <w:style w:type="paragraph" w:customStyle="1" w:styleId="Emission">
    <w:name w:val="Emission"/>
    <w:basedOn w:val="Normaallaad"/>
    <w:next w:val="Rfrenceinstitutionnelle"/>
    <w:pPr>
      <w:spacing w:before="0" w:after="0"/>
      <w:ind w:left="5103"/>
      <w:jc w:val="left"/>
    </w:pPr>
  </w:style>
  <w:style w:type="paragraph" w:customStyle="1" w:styleId="Rfrenceinstitutionnelle">
    <w:name w:val="Référence institutionnelle"/>
    <w:basedOn w:val="Normaallaad"/>
    <w:next w:val="Confidentialit"/>
    <w:pPr>
      <w:spacing w:before="0" w:after="240"/>
      <w:ind w:left="5103"/>
      <w:jc w:val="left"/>
    </w:pPr>
  </w:style>
  <w:style w:type="paragraph" w:customStyle="1" w:styleId="Pagedecouverture">
    <w:name w:val="Page de couverture"/>
    <w:basedOn w:val="Normaallaad"/>
    <w:next w:val="Normaallaad"/>
    <w:pPr>
      <w:spacing w:before="0" w:after="0"/>
    </w:pPr>
  </w:style>
  <w:style w:type="paragraph" w:customStyle="1" w:styleId="Declassification">
    <w:name w:val="Declassification"/>
    <w:basedOn w:val="Normaallaad"/>
    <w:next w:val="Normaallaad"/>
    <w:pPr>
      <w:spacing w:before="0" w:after="0"/>
    </w:pPr>
  </w:style>
  <w:style w:type="paragraph" w:customStyle="1" w:styleId="Disclaimer">
    <w:name w:val="Disclaimer"/>
    <w:basedOn w:val="Normaalla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pPr>
      <w:spacing w:before="0" w:after="0" w:line="276" w:lineRule="auto"/>
      <w:ind w:left="5103"/>
      <w:jc w:val="left"/>
    </w:pPr>
    <w:rPr>
      <w:sz w:val="28"/>
    </w:rPr>
  </w:style>
  <w:style w:type="paragraph" w:customStyle="1" w:styleId="DateMarking">
    <w:name w:val="DateMarking"/>
    <w:basedOn w:val="Normaallaad"/>
    <w:pPr>
      <w:spacing w:before="0" w:after="0" w:line="276" w:lineRule="auto"/>
      <w:ind w:left="5103"/>
      <w:jc w:val="left"/>
    </w:pPr>
    <w:rPr>
      <w:i/>
      <w:sz w:val="28"/>
    </w:rPr>
  </w:style>
  <w:style w:type="paragraph" w:customStyle="1" w:styleId="ReleasableTo">
    <w:name w:val="ReleasableTo"/>
    <w:basedOn w:val="Normaallaad"/>
    <w:pPr>
      <w:spacing w:before="0" w:after="0" w:line="276" w:lineRule="auto"/>
      <w:ind w:left="5103"/>
      <w:jc w:val="left"/>
    </w:pPr>
    <w:rPr>
      <w:i/>
      <w:sz w:val="28"/>
    </w:rPr>
  </w:style>
  <w:style w:type="paragraph" w:customStyle="1" w:styleId="Annexetitreexpos">
    <w:name w:val="Annexe titre (exposé)"/>
    <w:basedOn w:val="Normaallaad"/>
    <w:next w:val="Normaallaad"/>
    <w:pPr>
      <w:jc w:val="center"/>
    </w:pPr>
    <w:rPr>
      <w:b/>
      <w:u w:val="single"/>
    </w:rPr>
  </w:style>
  <w:style w:type="paragraph" w:customStyle="1" w:styleId="Annexetitre">
    <w:name w:val="Annexe titre"/>
    <w:basedOn w:val="Normaallaad"/>
    <w:next w:val="Normaallaad"/>
    <w:pPr>
      <w:jc w:val="center"/>
    </w:pPr>
    <w:rPr>
      <w:b/>
      <w:u w:val="single"/>
    </w:rPr>
  </w:style>
  <w:style w:type="paragraph" w:customStyle="1" w:styleId="Annexetitrefichefinancire">
    <w:name w:val="Annexe titre (fiche financière)"/>
    <w:basedOn w:val="Normaallaad"/>
    <w:next w:val="Normaallaad"/>
    <w:pPr>
      <w:jc w:val="center"/>
    </w:pPr>
    <w:rPr>
      <w:b/>
      <w:u w:val="single"/>
    </w:rPr>
  </w:style>
  <w:style w:type="paragraph" w:customStyle="1" w:styleId="Applicationdirecte">
    <w:name w:val="Application directe"/>
    <w:basedOn w:val="Normaallaad"/>
    <w:next w:val="Fait"/>
    <w:pPr>
      <w:spacing w:before="480"/>
    </w:pPr>
  </w:style>
  <w:style w:type="paragraph" w:customStyle="1" w:styleId="Avertissementtitre">
    <w:name w:val="Avertissement titre"/>
    <w:basedOn w:val="Normaallaad"/>
    <w:next w:val="Normaallaad"/>
    <w:pPr>
      <w:keepNext/>
      <w:spacing w:before="480"/>
    </w:pPr>
    <w:rPr>
      <w:u w:val="single"/>
    </w:rPr>
  </w:style>
  <w:style w:type="paragraph" w:customStyle="1" w:styleId="Confidence">
    <w:name w:val="Confidence"/>
    <w:basedOn w:val="Normaallaad"/>
    <w:next w:val="Normaallaad"/>
    <w:pPr>
      <w:spacing w:before="360"/>
      <w:jc w:val="center"/>
    </w:pPr>
  </w:style>
  <w:style w:type="paragraph" w:customStyle="1" w:styleId="Confidentialit">
    <w:name w:val="Confidentialité"/>
    <w:basedOn w:val="Normaallaad"/>
    <w:next w:val="TypedudocumentPagedecouverture"/>
    <w:pPr>
      <w:spacing w:before="240" w:after="240"/>
      <w:ind w:left="5103"/>
      <w:jc w:val="left"/>
    </w:pPr>
    <w:rPr>
      <w:i/>
      <w:sz w:val="32"/>
    </w:rPr>
  </w:style>
  <w:style w:type="paragraph" w:customStyle="1" w:styleId="Considrant">
    <w:name w:val="Considérant"/>
    <w:basedOn w:val="Normaallaad"/>
    <w:pPr>
      <w:numPr>
        <w:numId w:val="35"/>
      </w:numPr>
    </w:pPr>
  </w:style>
  <w:style w:type="paragraph" w:customStyle="1" w:styleId="Corrigendum">
    <w:name w:val="Corrigendum"/>
    <w:basedOn w:val="Normaallaad"/>
    <w:next w:val="Normaallaad"/>
    <w:pPr>
      <w:spacing w:before="0" w:after="240"/>
      <w:jc w:val="left"/>
    </w:pPr>
  </w:style>
  <w:style w:type="paragraph" w:customStyle="1" w:styleId="Datedadoption">
    <w:name w:val="Date d'adoption"/>
    <w:basedOn w:val="Normaallaad"/>
    <w:next w:val="Titreobjet"/>
    <w:pPr>
      <w:spacing w:before="360" w:after="0"/>
      <w:jc w:val="center"/>
    </w:pPr>
    <w:rPr>
      <w:b/>
    </w:rPr>
  </w:style>
  <w:style w:type="paragraph" w:customStyle="1" w:styleId="Exposdesmotifstitre">
    <w:name w:val="Exposé des motifs titre"/>
    <w:basedOn w:val="Normaallaad"/>
    <w:next w:val="Normaallaad"/>
    <w:pPr>
      <w:jc w:val="center"/>
    </w:pPr>
    <w:rPr>
      <w:b/>
      <w:u w:val="single"/>
    </w:rPr>
  </w:style>
  <w:style w:type="paragraph" w:customStyle="1" w:styleId="Fait">
    <w:name w:val="Fait à"/>
    <w:basedOn w:val="Normaallaad"/>
    <w:next w:val="Institutionquisigne"/>
    <w:pPr>
      <w:keepNext/>
      <w:spacing w:after="0"/>
    </w:pPr>
  </w:style>
  <w:style w:type="paragraph" w:customStyle="1" w:styleId="Formuledadoption">
    <w:name w:val="Formule d'adoption"/>
    <w:basedOn w:val="Normaallaad"/>
    <w:next w:val="Titrearticle"/>
    <w:pPr>
      <w:keepNext/>
    </w:pPr>
  </w:style>
  <w:style w:type="paragraph" w:customStyle="1" w:styleId="Institutionquiagit">
    <w:name w:val="Institution qui agit"/>
    <w:basedOn w:val="Normaallaad"/>
    <w:next w:val="Normaallaad"/>
    <w:pPr>
      <w:keepNext/>
      <w:spacing w:before="600"/>
    </w:pPr>
  </w:style>
  <w:style w:type="paragraph" w:customStyle="1" w:styleId="Institutionquisigne">
    <w:name w:val="Institution qui signe"/>
    <w:basedOn w:val="Normaallaad"/>
    <w:next w:val="Personnequisigne"/>
    <w:pPr>
      <w:keepNext/>
      <w:tabs>
        <w:tab w:val="left" w:pos="4252"/>
      </w:tabs>
      <w:spacing w:before="720" w:after="0"/>
    </w:pPr>
    <w:rPr>
      <w:i/>
    </w:rPr>
  </w:style>
  <w:style w:type="paragraph" w:customStyle="1" w:styleId="ManualConsidrant">
    <w:name w:val="Manual Considérant"/>
    <w:basedOn w:val="Normaallaad"/>
    <w:pPr>
      <w:ind w:left="709" w:hanging="709"/>
    </w:pPr>
  </w:style>
  <w:style w:type="paragraph" w:customStyle="1" w:styleId="Personnequisigne">
    <w:name w:val="Personne qui signe"/>
    <w:basedOn w:val="Normaallaad"/>
    <w:next w:val="Institutionquisigne"/>
    <w:pPr>
      <w:tabs>
        <w:tab w:val="left" w:pos="4252"/>
      </w:tabs>
      <w:spacing w:before="0" w:after="0"/>
      <w:jc w:val="left"/>
    </w:pPr>
    <w:rPr>
      <w:i/>
    </w:rPr>
  </w:style>
  <w:style w:type="paragraph" w:customStyle="1" w:styleId="Rfrenceinterinstitutionnelle">
    <w:name w:val="Référence interinstitutionnelle"/>
    <w:basedOn w:val="Normaallaad"/>
    <w:next w:val="Statut"/>
    <w:pPr>
      <w:spacing w:before="0" w:after="0"/>
      <w:ind w:left="5103"/>
      <w:jc w:val="left"/>
    </w:pPr>
  </w:style>
  <w:style w:type="paragraph" w:customStyle="1" w:styleId="Rfrenceinterne">
    <w:name w:val="Référence interne"/>
    <w:basedOn w:val="Normaallaad"/>
    <w:next w:val="Rfrenceinterinstitutionnelle"/>
    <w:pPr>
      <w:spacing w:before="0" w:after="0"/>
      <w:ind w:left="5103"/>
      <w:jc w:val="left"/>
    </w:pPr>
  </w:style>
  <w:style w:type="paragraph" w:customStyle="1" w:styleId="Statut">
    <w:name w:val="Statut"/>
    <w:basedOn w:val="Normaallaad"/>
    <w:next w:val="Typedudocument"/>
    <w:pPr>
      <w:spacing w:before="360" w:after="0"/>
      <w:jc w:val="center"/>
    </w:pPr>
  </w:style>
  <w:style w:type="paragraph" w:customStyle="1" w:styleId="Titrearticle">
    <w:name w:val="Titre article"/>
    <w:basedOn w:val="Normaallaad"/>
    <w:next w:val="Normaallaad"/>
    <w:pPr>
      <w:keepNext/>
      <w:spacing w:before="360"/>
      <w:jc w:val="center"/>
    </w:pPr>
    <w:rPr>
      <w:i/>
    </w:rPr>
  </w:style>
  <w:style w:type="paragraph" w:customStyle="1" w:styleId="Titreobjet">
    <w:name w:val="Titre objet"/>
    <w:basedOn w:val="Normaallaad"/>
    <w:next w:val="IntrtEEE"/>
    <w:pPr>
      <w:spacing w:before="360" w:after="360"/>
      <w:jc w:val="center"/>
    </w:pPr>
    <w:rPr>
      <w:b/>
    </w:rPr>
  </w:style>
  <w:style w:type="paragraph" w:customStyle="1" w:styleId="Typedudocument">
    <w:name w:val="Type du document"/>
    <w:basedOn w:val="Normaallaad"/>
    <w:next w:val="Titreobjet"/>
    <w:pPr>
      <w:spacing w:before="360" w:after="0"/>
      <w:jc w:val="center"/>
    </w:pPr>
    <w:rPr>
      <w:b/>
    </w:rPr>
  </w:style>
  <w:style w:type="character" w:customStyle="1" w:styleId="Added">
    <w:name w:val="Added"/>
    <w:basedOn w:val="Liguvaikefont"/>
    <w:rPr>
      <w:b/>
      <w:u w:val="single"/>
      <w:shd w:val="clear" w:color="auto" w:fill="auto"/>
    </w:rPr>
  </w:style>
  <w:style w:type="character" w:customStyle="1" w:styleId="Deleted">
    <w:name w:val="Deleted"/>
    <w:basedOn w:val="Liguvaikefont"/>
    <w:rPr>
      <w:strike/>
      <w:dstrike w:val="0"/>
      <w:shd w:val="clear" w:color="auto" w:fill="auto"/>
    </w:rPr>
  </w:style>
  <w:style w:type="paragraph" w:customStyle="1" w:styleId="Address">
    <w:name w:val="Address"/>
    <w:basedOn w:val="Normaallaad"/>
    <w:next w:val="Normaallaad"/>
    <w:pPr>
      <w:keepLines/>
      <w:spacing w:line="360" w:lineRule="auto"/>
      <w:ind w:left="3402"/>
      <w:jc w:val="left"/>
    </w:pPr>
  </w:style>
  <w:style w:type="paragraph" w:customStyle="1" w:styleId="Objetexterne">
    <w:name w:val="Objet externe"/>
    <w:basedOn w:val="Normaallaad"/>
    <w:next w:val="Normaallaad"/>
    <w:rPr>
      <w:i/>
      <w:caps/>
    </w:rPr>
  </w:style>
  <w:style w:type="paragraph" w:customStyle="1" w:styleId="Supertitre">
    <w:name w:val="Supertitre"/>
    <w:basedOn w:val="Normaallaad"/>
    <w:next w:val="Normaallaad"/>
    <w:pPr>
      <w:spacing w:before="0" w:after="600"/>
      <w:jc w:val="center"/>
    </w:pPr>
    <w:rPr>
      <w:b/>
    </w:rPr>
  </w:style>
  <w:style w:type="paragraph" w:customStyle="1" w:styleId="Languesfaisantfoi">
    <w:name w:val="Langues faisant foi"/>
    <w:basedOn w:val="Normaallaad"/>
    <w:next w:val="Normaallaad"/>
    <w:pPr>
      <w:spacing w:before="360" w:after="0"/>
      <w:jc w:val="center"/>
    </w:pPr>
  </w:style>
  <w:style w:type="paragraph" w:customStyle="1" w:styleId="Rfrencecroise">
    <w:name w:val="Référence croisée"/>
    <w:basedOn w:val="Normaallaad"/>
    <w:pPr>
      <w:spacing w:before="0" w:after="0"/>
      <w:jc w:val="center"/>
    </w:pPr>
  </w:style>
  <w:style w:type="paragraph" w:customStyle="1" w:styleId="Fichefinanciretitre">
    <w:name w:val="Fiche financière titre"/>
    <w:basedOn w:val="Normaallaad"/>
    <w:next w:val="Normaallaa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allaad"/>
    <w:next w:val="Confidentialit"/>
    <w:pPr>
      <w:spacing w:before="0" w:after="240"/>
      <w:ind w:left="5103"/>
      <w:jc w:val="left"/>
    </w:p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0" w:after="240"/>
      <w:jc w:val="center"/>
    </w:pPr>
    <w:rPr>
      <w:b/>
      <w:i/>
    </w:rPr>
  </w:style>
  <w:style w:type="paragraph" w:customStyle="1" w:styleId="Typeacteprincipal">
    <w:name w:val="Type acte principal"/>
    <w:basedOn w:val="Normaallaad"/>
    <w:next w:val="Objetacteprincipal"/>
    <w:pPr>
      <w:spacing w:before="0" w:after="240"/>
      <w:jc w:val="center"/>
    </w:pPr>
    <w:rPr>
      <w:b/>
    </w:rPr>
  </w:style>
  <w:style w:type="paragraph" w:customStyle="1" w:styleId="Objetacteprincipal">
    <w:name w:val="Objet acte principal"/>
    <w:basedOn w:val="Normaallaa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7702">
      <w:bodyDiv w:val="1"/>
      <w:marLeft w:val="0"/>
      <w:marRight w:val="0"/>
      <w:marTop w:val="0"/>
      <w:marBottom w:val="0"/>
      <w:divBdr>
        <w:top w:val="none" w:sz="0" w:space="0" w:color="auto"/>
        <w:left w:val="none" w:sz="0" w:space="0" w:color="auto"/>
        <w:bottom w:val="none" w:sz="0" w:space="0" w:color="auto"/>
        <w:right w:val="none" w:sz="0" w:space="0" w:color="auto"/>
      </w:divBdr>
      <w:divsChild>
        <w:div w:id="839469744">
          <w:marLeft w:val="0"/>
          <w:marRight w:val="0"/>
          <w:marTop w:val="0"/>
          <w:marBottom w:val="0"/>
          <w:divBdr>
            <w:top w:val="none" w:sz="0" w:space="0" w:color="auto"/>
            <w:left w:val="none" w:sz="0" w:space="0" w:color="auto"/>
            <w:bottom w:val="none" w:sz="0" w:space="0" w:color="auto"/>
            <w:right w:val="none" w:sz="0" w:space="0" w:color="auto"/>
          </w:divBdr>
          <w:divsChild>
            <w:div w:id="668295563">
              <w:marLeft w:val="0"/>
              <w:marRight w:val="0"/>
              <w:marTop w:val="0"/>
              <w:marBottom w:val="0"/>
              <w:divBdr>
                <w:top w:val="none" w:sz="0" w:space="0" w:color="auto"/>
                <w:left w:val="none" w:sz="0" w:space="0" w:color="auto"/>
                <w:bottom w:val="none" w:sz="0" w:space="0" w:color="auto"/>
                <w:right w:val="none" w:sz="0" w:space="0" w:color="auto"/>
              </w:divBdr>
              <w:divsChild>
                <w:div w:id="1137068098">
                  <w:marLeft w:val="0"/>
                  <w:marRight w:val="0"/>
                  <w:marTop w:val="0"/>
                  <w:marBottom w:val="0"/>
                  <w:divBdr>
                    <w:top w:val="none" w:sz="0" w:space="0" w:color="auto"/>
                    <w:left w:val="none" w:sz="0" w:space="0" w:color="auto"/>
                    <w:bottom w:val="none" w:sz="0" w:space="0" w:color="auto"/>
                    <w:right w:val="none" w:sz="0" w:space="0" w:color="auto"/>
                  </w:divBdr>
                  <w:divsChild>
                    <w:div w:id="20285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625794">
      <w:bodyDiv w:val="1"/>
      <w:marLeft w:val="0"/>
      <w:marRight w:val="0"/>
      <w:marTop w:val="0"/>
      <w:marBottom w:val="0"/>
      <w:divBdr>
        <w:top w:val="none" w:sz="0" w:space="0" w:color="auto"/>
        <w:left w:val="none" w:sz="0" w:space="0" w:color="auto"/>
        <w:bottom w:val="none" w:sz="0" w:space="0" w:color="auto"/>
        <w:right w:val="none" w:sz="0" w:space="0" w:color="auto"/>
      </w:divBdr>
    </w:div>
    <w:div w:id="1085953567">
      <w:bodyDiv w:val="1"/>
      <w:marLeft w:val="0"/>
      <w:marRight w:val="0"/>
      <w:marTop w:val="0"/>
      <w:marBottom w:val="0"/>
      <w:divBdr>
        <w:top w:val="none" w:sz="0" w:space="0" w:color="auto"/>
        <w:left w:val="none" w:sz="0" w:space="0" w:color="auto"/>
        <w:bottom w:val="none" w:sz="0" w:space="0" w:color="auto"/>
        <w:right w:val="none" w:sz="0" w:space="0" w:color="auto"/>
      </w:divBdr>
    </w:div>
    <w:div w:id="1490635879">
      <w:bodyDiv w:val="1"/>
      <w:marLeft w:val="0"/>
      <w:marRight w:val="0"/>
      <w:marTop w:val="0"/>
      <w:marBottom w:val="0"/>
      <w:divBdr>
        <w:top w:val="none" w:sz="0" w:space="0" w:color="auto"/>
        <w:left w:val="none" w:sz="0" w:space="0" w:color="auto"/>
        <w:bottom w:val="none" w:sz="0" w:space="0" w:color="auto"/>
        <w:right w:val="none" w:sz="0" w:space="0" w:color="auto"/>
      </w:divBdr>
      <w:divsChild>
        <w:div w:id="2116904908">
          <w:marLeft w:val="0"/>
          <w:marRight w:val="0"/>
          <w:marTop w:val="0"/>
          <w:marBottom w:val="0"/>
          <w:divBdr>
            <w:top w:val="none" w:sz="0" w:space="0" w:color="auto"/>
            <w:left w:val="none" w:sz="0" w:space="0" w:color="auto"/>
            <w:bottom w:val="none" w:sz="0" w:space="0" w:color="auto"/>
            <w:right w:val="none" w:sz="0" w:space="0" w:color="auto"/>
          </w:divBdr>
          <w:divsChild>
            <w:div w:id="1539270493">
              <w:marLeft w:val="0"/>
              <w:marRight w:val="0"/>
              <w:marTop w:val="0"/>
              <w:marBottom w:val="0"/>
              <w:divBdr>
                <w:top w:val="none" w:sz="0" w:space="0" w:color="auto"/>
                <w:left w:val="none" w:sz="0" w:space="0" w:color="auto"/>
                <w:bottom w:val="none" w:sz="0" w:space="0" w:color="auto"/>
                <w:right w:val="none" w:sz="0" w:space="0" w:color="auto"/>
              </w:divBdr>
              <w:divsChild>
                <w:div w:id="342902114">
                  <w:marLeft w:val="0"/>
                  <w:marRight w:val="0"/>
                  <w:marTop w:val="0"/>
                  <w:marBottom w:val="0"/>
                  <w:divBdr>
                    <w:top w:val="none" w:sz="0" w:space="0" w:color="auto"/>
                    <w:left w:val="none" w:sz="0" w:space="0" w:color="auto"/>
                    <w:bottom w:val="none" w:sz="0" w:space="0" w:color="auto"/>
                    <w:right w:val="none" w:sz="0" w:space="0" w:color="auto"/>
                  </w:divBdr>
                  <w:divsChild>
                    <w:div w:id="13489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2c82ef18-ce5d-4b4f-8ff0-002932154acc" TargetMode="External"/><Relationship Id="rId3" Type="http://schemas.openxmlformats.org/officeDocument/2006/relationships/hyperlink" Target="https://echa.europa.eu/documents/10162/28acf817-61a6-3ca6-4e85-a71ef0e07740" TargetMode="External"/><Relationship Id="rId7" Type="http://schemas.openxmlformats.org/officeDocument/2006/relationships/hyperlink" Target="https://echa.europa.eu/documents/10162/e0a5c108-a7ed-dbd3-67ce-d00a6470d8ce" TargetMode="External"/><Relationship Id="rId2" Type="http://schemas.openxmlformats.org/officeDocument/2006/relationships/hyperlink" Target="http://data.europa.eu/eli/reg/2008/1272/oj" TargetMode="External"/><Relationship Id="rId1" Type="http://schemas.openxmlformats.org/officeDocument/2006/relationships/hyperlink" Target="http://data.europa.eu/eli/reg/2021/57/oj" TargetMode="External"/><Relationship Id="rId6" Type="http://schemas.openxmlformats.org/officeDocument/2006/relationships/hyperlink" Target="https://echa.europa.eu/documents/10162/14c4fceb-31b4-aea2-a9b5-75cdccf8013f" TargetMode="External"/><Relationship Id="rId5" Type="http://schemas.openxmlformats.org/officeDocument/2006/relationships/hyperlink" Target="https://echa.europa.eu/documents/10162/da9bf395-e6c3-b48e-396f-afc8dcef0b21" TargetMode="External"/><Relationship Id="rId4" Type="http://schemas.openxmlformats.org/officeDocument/2006/relationships/hyperlink" Target="https://www.cms.int/en/convention-te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59044-3E94-4FE4-841E-728369A90F67}">
  <ds:schemaRefs>
    <ds:schemaRef ds:uri="http://schemas.microsoft.com/sharepoint/v3/contenttype/forms"/>
  </ds:schemaRefs>
</ds:datastoreItem>
</file>

<file path=customXml/itemProps2.xml><?xml version="1.0" encoding="utf-8"?>
<ds:datastoreItem xmlns:ds="http://schemas.openxmlformats.org/officeDocument/2006/customXml" ds:itemID="{F6289726-9B2F-4509-832E-B8F593B21CFA}">
  <ds:schemaRefs>
    <ds:schemaRef ds:uri="http://schemas.microsoft.com/office/2006/metadata/properties"/>
    <ds:schemaRef ds:uri="http://schemas.microsoft.com/office/infopath/2007/PartnerControls"/>
    <ds:schemaRef ds:uri="122f29e7-6632-4cfe-826d-d0aa7d34b0a3"/>
    <ds:schemaRef ds:uri="0963436b-35f1-4197-85e1-d8d1686f5aa4"/>
  </ds:schemaRefs>
</ds:datastoreItem>
</file>

<file path=customXml/itemProps3.xml><?xml version="1.0" encoding="utf-8"?>
<ds:datastoreItem xmlns:ds="http://schemas.openxmlformats.org/officeDocument/2006/customXml" ds:itemID="{78C32C78-471D-423C-B82E-C8C6B1325E95}">
  <ds:schemaRefs>
    <ds:schemaRef ds:uri="http://schemas.openxmlformats.org/officeDocument/2006/bibliography"/>
  </ds:schemaRefs>
</ds:datastoreItem>
</file>

<file path=customXml/itemProps4.xml><?xml version="1.0" encoding="utf-8"?>
<ds:datastoreItem xmlns:ds="http://schemas.openxmlformats.org/officeDocument/2006/customXml" ds:itemID="{0ADDE061-F1BE-455F-BCFB-9DD3C4CD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5005</Words>
  <Characters>29035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Katleen (GROW)</dc:creator>
  <cp:keywords/>
  <dc:description/>
  <cp:lastModifiedBy>Zanna Arhipova</cp:lastModifiedBy>
  <cp:revision>2</cp:revision>
  <dcterms:created xsi:type="dcterms:W3CDTF">2025-04-03T06:31:00Z</dcterms:created>
  <dcterms:modified xsi:type="dcterms:W3CDTF">2025-04-03T06:31:00Z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2023-10-19T15:45:06Z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6cd60327-2a7f-4fe8-bca4-e150006e6d24</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SJ-001</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